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8146A2" w:rsidR="004F1627" w:rsidP="008146A2" w:rsidRDefault="00843294" w14:paraId="28A69DE4" w14:textId="3D262534">
      <w:pPr>
        <w:pStyle w:val="Heading1"/>
      </w:pPr>
      <w:r>
        <w:t xml:space="preserve">区块链监管体系——概念与操作层面的挑战</w:t>
      </w:r>
    </w:p>
    <w:p w:rsidR="00FF1F0B" w:rsidRDefault="00843294" w14:paraId="0C88CACD" w14:textId="229F5129">
      <w:pPr>
        <w:rPr>
          <w:rFonts w:ascii="Times New Roman" w:hAnsi="Times New Roman" w:cs="Times New Roman"/>
        </w:rPr>
      </w:pPr>
      <w:r>
        <w:rPr>
          <w:rFonts w:ascii="Times New Roman" w:hAnsi="Times New Roman" w:cs="Times New Roman"/>
        </w:rPr>
        <w:t xml:space="preserve">拉里·卡塔·巴克（Larry Catá Backer</w:t>
      </w:r>
      <w:r>
        <w:rPr>
          <w:rFonts w:ascii="Times New Roman" w:hAnsi="Times New Roman" w:cs="Times New Roman"/>
        </w:rPr>
        <w:t xml:space="preserve">）</w:t>
      </w:r>
      <w:r>
        <w:rPr>
          <w:rStyle w:val="FootnoteReference"/>
          <w:rFonts w:ascii="Times New Roman" w:hAnsi="Times New Roman" w:cs="Times New Roman"/>
        </w:rPr>
        <w:footnoteReference w:id="1"/>
      </w:r>
      <w:r>
        <w:rPr>
          <w:rFonts w:ascii="Times New Roman" w:hAnsi="Times New Roman" w:cs="Times New Roman"/>
        </w:rPr>
        <w:t xml:space="preserve"> ，丹尼尔·罗斯（Daniil Rose）</w:t>
      </w:r>
      <w:r>
        <w:rPr>
          <w:rStyle w:val="FootnoteReference"/>
          <w:rFonts w:ascii="Times New Roman" w:hAnsi="Times New Roman" w:cs="Times New Roman"/>
        </w:rPr>
        <w:footnoteReference w:id="2"/>
      </w:r>
    </w:p>
    <w:p w:rsidR="009D2504" w:rsidRDefault="009D2504" w14:paraId="36348005" w14:textId="77777777">
      <w:pPr>
        <w:rPr>
          <w:rFonts w:ascii="Times New Roman" w:hAnsi="Times New Roman" w:cs="Times New Roman"/>
        </w:rPr>
      </w:pPr>
    </w:p>
    <w:p w:rsidR="00FC74A9" w:rsidP="004E3A22" w:rsidRDefault="00FC74A9" w14:paraId="47E1C704" w14:textId="633A071A">
      <w:pPr>
        <w:ind w:start="720"/>
        <w:rPr>
          <w:rFonts w:ascii="Times New Roman" w:hAnsi="Times New Roman" w:cs="Times New Roman"/>
        </w:rPr>
      </w:pPr>
      <w:r>
        <w:rPr>
          <w:rFonts w:ascii="Times New Roman" w:hAnsi="Times New Roman" w:cs="Times New Roman"/>
          <w:i/>
          <w:iCs/>
        </w:rPr>
        <w:t xml:space="preserve">摘要：</w:t>
      </w:r>
      <w:r>
        <w:rPr>
          <w:rFonts w:ascii="Times New Roman" w:hAnsi="Times New Roman" w:cs="Times New Roman"/>
        </w:rPr>
        <w:t xml:space="preserve">本文对当代区块链讨论中最为根深蒂固的假设之一——即代码可被理解为与法律类似的“规则”——提出了质疑。相反，本文通过一系列相互关联的分析</w:t>
      </w:r>
      <w:r w:rsidR="0010181C">
        <w:rPr>
          <w:rFonts w:ascii="Times New Roman" w:hAnsi="Times New Roman" w:cs="Times New Roman"/>
        </w:rPr>
        <w:t xml:space="preserve">视角</w:t>
      </w:r>
      <w:r>
        <w:rPr>
          <w:rFonts w:ascii="Times New Roman" w:hAnsi="Times New Roman" w:cs="Times New Roman"/>
        </w:rPr>
        <w:t xml:space="preserve">论证</w:t>
      </w:r>
      <w:r>
        <w:rPr>
          <w:rFonts w:ascii="Times New Roman" w:hAnsi="Times New Roman" w:cs="Times New Roman"/>
        </w:rPr>
        <w:t>，代码更应被视为一个分层系统、一种环境，或是规则生产的生态系统；在此系统中，人类以及更广泛意义上的人类系统性正逐渐被取代，而非仅仅被服从或违抗。 本文认为，这种取代并非一蹴而就，也非发生在单一场所；而是通过一个被本文称为区块链监管</w:t>
      </w:r>
      <w:r>
        <w:rPr>
          <w:rFonts w:ascii="Times New Roman" w:hAnsi="Times New Roman" w:cs="Times New Roman"/>
        </w:rPr>
        <w:t>之</w:t>
      </w:r>
      <w:r>
        <w:rPr>
          <w:rFonts w:ascii="Times New Roman" w:hAnsi="Times New Roman" w:cs="Times New Roman"/>
        </w:rPr>
        <w:t>“萨赫蛋糕”</w:t>
      </w:r>
      <w:r>
        <w:rPr>
          <w:rFonts w:ascii="Times New Roman" w:hAnsi="Times New Roman" w:cs="Times New Roman"/>
        </w:rPr>
        <w:t>（Sacher-Torte）</w:t>
      </w:r>
      <w:r>
        <w:rPr>
          <w:rFonts w:ascii="Times New Roman" w:hAnsi="Times New Roman" w:cs="Times New Roman"/>
        </w:rPr>
        <w:t>的层叠结构，以序列方式逐步发生——法律意义通过编译器、字节码、 操作码以及共识层逐级传递，人类对其可读性逐渐降低，在每次转换中都会丢失部分原始语义内容，因此人类监管者所能掌控的并非对机器底层的支配权，而仅是一系列关卡——他们只能在事后（往往为时已晚）决定是否接纳系统已经产出的结果。 本文将这一结构性论点置于一个更广泛的解释框架之中，该框架借鉴了近期关于人工智能治理的辩论：在该框架下，对某项技术目的及合理秩序的任何阐释，本身最好被解读为一种带有既得利益的、预言式的主张——这种主张由某一方提出，而该方将从该阐释所暗示的人类与机器权限分配中获益；区块链自身的监管叙事，包括本文所审视的“代码</w:t>
      </w:r>
      <w:r>
        <w:rPr>
          <w:rFonts w:ascii="Times New Roman" w:hAnsi="Times New Roman" w:cs="Times New Roman"/>
        </w:rPr>
        <w:t>之</w:t>
      </w:r>
      <w:r>
        <w:rPr>
          <w:rFonts w:ascii="Times New Roman" w:hAnsi="Times New Roman" w:cs="Times New Roman"/>
        </w:rPr>
        <w:t>治”论点，也不例外。 本文进一步将这一论点延伸至“时间”这一具体问题，指出区块链在解决分布式继承问题上备受赞誉的方案——即原本无领导者的异步节点网络设法就单一、线性、哈希链式历史达成共识——既不是关于继承本质的超时空发现，也不是形而上学的成就，而是一种以能源为代价、 存在政治争议且受历史条件制约的选择，旨在强制推行一种特定的秩序图景；这一选择深深植根于该技术的架构之中，以至于即便是最近提出的将真正非经典的、量子纠缠表征嫁接到账本上的方案，也未能改变其严格的序列化、辩证的时间性，反而使其得以保留。综合来看，这些论点重新</w:t>
      </w:r>
      <w:r>
        <w:rPr>
          <w:rFonts w:ascii="Times New Roman" w:hAnsi="Times New Roman" w:cs="Times New Roman"/>
        </w:rPr>
        <w:t>界</w:t>
      </w:r>
      <w:r>
        <w:rPr>
          <w:rFonts w:ascii="Times New Roman" w:hAnsi="Times New Roman" w:cs="Times New Roman"/>
        </w:rPr>
        <w:t>定</w:t>
      </w:r>
      <w:r>
        <w:rPr>
          <w:rFonts w:ascii="Times New Roman" w:hAnsi="Times New Roman" w:cs="Times New Roman"/>
        </w:rPr>
        <w:t>了“法治”与“代码</w:t>
      </w:r>
      <w:r>
        <w:rPr>
          <w:rFonts w:ascii="Times New Roman" w:hAnsi="Times New Roman" w:cs="Times New Roman"/>
        </w:rPr>
        <w:t>之</w:t>
      </w:r>
      <w:r>
        <w:rPr>
          <w:rFonts w:ascii="Times New Roman" w:hAnsi="Times New Roman" w:cs="Times New Roman"/>
        </w:rPr>
        <w:t>治”</w:t>
      </w:r>
      <w:r>
        <w:rPr>
          <w:rFonts w:ascii="Times New Roman" w:hAnsi="Times New Roman" w:cs="Times New Roman"/>
        </w:rPr>
        <w:t>（</w:t>
      </w:r>
      <w:r>
        <w:rPr>
          <w:rFonts w:ascii="Times New Roman" w:hAnsi="Times New Roman" w:cs="Times New Roman"/>
        </w:rPr>
        <w:t>或“</w:t>
      </w:r>
      <w:r>
        <w:rPr>
          <w:rFonts w:ascii="Times New Roman" w:hAnsi="Times New Roman" w:cs="Times New Roman"/>
        </w:rPr>
        <w:t>依</w:t>
      </w:r>
      <w:r>
        <w:rPr>
          <w:rFonts w:ascii="Times New Roman" w:hAnsi="Times New Roman" w:cs="Times New Roman"/>
        </w:rPr>
        <w:t>代码</w:t>
      </w:r>
      <w:r>
        <w:rPr>
          <w:rFonts w:ascii="Times New Roman" w:hAnsi="Times New Roman" w:cs="Times New Roman"/>
        </w:rPr>
        <w:t>而</w:t>
      </w:r>
      <w:r>
        <w:rPr>
          <w:rFonts w:ascii="Times New Roman" w:hAnsi="Times New Roman" w:cs="Times New Roman"/>
        </w:rPr>
        <w:t>治”</w:t>
      </w:r>
      <w:r>
        <w:rPr>
          <w:rFonts w:ascii="Times New Roman" w:hAnsi="Times New Roman" w:cs="Times New Roman"/>
        </w:rPr>
        <w:t>）</w:t>
      </w:r>
      <w:r>
        <w:rPr>
          <w:rFonts w:ascii="Times New Roman" w:hAnsi="Times New Roman" w:cs="Times New Roman"/>
        </w:rPr>
        <w:t>之</w:t>
      </w:r>
      <w:r>
        <w:rPr>
          <w:rFonts w:ascii="Times New Roman" w:hAnsi="Times New Roman" w:cs="Times New Roman"/>
        </w:rPr>
        <w:t>争，使之由</w:t>
      </w:r>
      <w:r>
        <w:rPr>
          <w:rFonts w:ascii="Times New Roman" w:hAnsi="Times New Roman" w:cs="Times New Roman"/>
        </w:rPr>
        <w:t>两个</w:t>
      </w:r>
      <w:r>
        <w:rPr>
          <w:rFonts w:ascii="Times New Roman" w:hAnsi="Times New Roman" w:cs="Times New Roman"/>
        </w:rPr>
        <w:t>泾渭分明</w:t>
      </w:r>
      <w:r>
        <w:rPr>
          <w:rFonts w:ascii="Times New Roman" w:hAnsi="Times New Roman" w:cs="Times New Roman"/>
        </w:rPr>
        <w:t>的主权者之间的较量，转向一种更令人不安的认识：真正的冲突发生在不同的监管生态系统之间，每个生态系统都根据其自身的内在逻辑来组织意义、时间和合法性；而人类监管剩下的任务，不是在这些生态系统之间做出选择，而是为它们被迫相遇的那些门户——无论多么狭窄——赋予规范性内容。</w:t>
      </w:r>
    </w:p>
    <w:p w:rsidRPr="002162E0" w:rsidR="009D2504" w:rsidP="004E3A22" w:rsidRDefault="009D2504" w14:paraId="148785D9" w14:textId="171E7F25">
      <w:pPr>
        <w:ind w:firstLine="720"/>
        <w:rPr>
          <w:rFonts w:ascii="Times New Roman" w:hAnsi="Times New Roman" w:cs="Times New Roman"/>
        </w:rPr>
      </w:pPr>
      <w:r>
        <w:rPr>
          <w:rFonts w:ascii="Times New Roman" w:hAnsi="Times New Roman" w:cs="Times New Roman"/>
          <w:i/>
          <w:iCs/>
        </w:rPr>
        <w:t xml:space="preserve">关键词：</w:t>
      </w:r>
      <w:r>
        <w:rPr>
          <w:rFonts w:ascii="Times New Roman" w:hAnsi="Times New Roman" w:cs="Times New Roman"/>
        </w:rPr>
        <w:t xml:space="preserve">区块链、法治、符号学、系统、监管、机器代码、时间性</w:t>
      </w:r>
    </w:p>
    <w:p w:rsidRPr="002162E0" w:rsidR="00957625" w:rsidP="00843294" w:rsidRDefault="00000000" w14:paraId="0A35EA7E" w14:textId="68DF46ED">
      <w:pPr>
        <w:pStyle w:val="p3"/>
        <w:rPr>
          <w:rFonts w:ascii="Times New Roman" w:hAnsi="Times New Roman"/>
          <w:sz w:val="24"/>
          <w:szCs w:val="24"/>
        </w:rPr>
      </w:pPr>
      <w:bdo w:val="ltr">
        <w:r>
          <w:t>‬</w:t>
        </w:r>
        <w:bdo w:val="ltr">
          <w:r>
            <w:rPr>
              <w:rFonts w:ascii="Times New Roman" w:hAnsi="Times New Roman"/>
            </w:rPr>
            <w:t>‬</w:t>
          </w:r>
          <w:r>
            <w:rPr>
              <w:rFonts w:ascii="Times New Roman" w:hAnsi="Times New Roman"/>
            </w:rPr>
            <w:t>‬</w:t>
          </w:r>
          <w:r>
            <w:t>‬</w:t>
          </w:r>
          <w:r>
            <w:t>‬</w:t>
          </w:r>
          <w:r>
            <w:t>‬</w:t>
          </w:r>
          <w:r>
            <w:t>‬</w:t>
          </w:r>
          <w:r>
            <w:t>‬</w:t>
          </w:r>
          <w:r>
            <w:t>‬</w:t>
          </w:r>
          <w:r>
            <w:t>‬</w:t>
          </w:r>
          <w:r>
            <w:t>‬</w:t>
          </w:r>
          <w:r>
            <w:t>‬</w:t>
          </w:r>
          <w:r>
            <w:t>‬</w:t>
          </w:r>
          <w:r>
            <w:t>‬</w:t>
          </w:r>
          <w:r>
            <w:t>‬</w:t>
          </w:r>
          <w:r>
            <w:t>‬</w:t>
          </w:r>
          <w:r>
            <w:t>‬</w:t>
          </w:r>
          <w:r>
            <w:t>‬</w:t>
          </w:r>
          <w:r>
            <w:t>‬</w:t>
          </w:r>
        </w:bdo>
      </w:bdo>
    </w:p>
    <w:p w:rsidR="00C8423B" w:rsidRDefault="00C8423B" w14:paraId="7B154E10" w14:textId="77777777">
      <w:pPr>
        <w:rPr>
          <w:rFonts w:ascii="Times New Roman" w:hAnsi="Times New Roman" w:cs="Times New Roman"/>
        </w:rPr>
      </w:pPr>
      <w:r>
        <w:rPr>
          <w:rFonts w:ascii="Times New Roman" w:hAnsi="Times New Roman" w:cs="Times New Roman"/>
        </w:rPr>
        <w:br w:type="page"/>
      </w:r>
    </w:p>
    <w:p w:rsidR="00FA1982" w:rsidP="00FA1982" w:rsidRDefault="006C12F7" w14:paraId="60FEB7AA" w14:textId="16F61F23">
      <w:pPr>
        <w:rPr>
          <w:rFonts w:ascii="Times New Roman" w:hAnsi="Times New Roman" w:cs="Times New Roman"/>
        </w:rPr>
      </w:pPr>
      <w:r>
        <w:rPr>
          <w:rFonts w:ascii="Times New Roman" w:hAnsi="Times New Roman" w:cs="Times New Roman"/>
        </w:rPr>
        <w:lastRenderedPageBreak/>
      </w:r>
      <w:r>
        <w:rPr>
          <w:rFonts w:ascii="Times New Roman" w:hAnsi="Times New Roman" w:cs="Times New Roman"/>
        </w:rPr>
        <w:t xml:space="preserve">一、引言。</w:t>
      </w:r>
    </w:p>
    <w:p w:rsidRPr="002162E0" w:rsidR="00DF35B2" w:rsidP="00384919" w:rsidRDefault="0091033E" w14:paraId="6798C798" w14:textId="09730F4B">
      <w:pPr>
        <w:ind w:firstLine="720"/>
        <w:rPr>
          <w:rFonts w:ascii="Times New Roman" w:hAnsi="Times New Roman" w:cs="Times New Roman"/>
        </w:rPr>
      </w:pPr>
      <w:r>
        <w:rPr>
          <w:rFonts w:ascii="Times New Roman" w:hAnsi="Times New Roman" w:cs="Times New Roman"/>
        </w:rPr>
        <w:t xml:space="preserve">本文探讨了</w:t>
      </w:r>
      <w:r>
        <w:rPr>
          <w:rFonts w:ascii="Times New Roman" w:hAnsi="Times New Roman" w:cs="Times New Roman"/>
        </w:rPr>
        <w:t xml:space="preserve">在充斥着自动化数据存储和序列化交易机制的虚拟空间中</w:t>
      </w:r>
      <w:r>
        <w:rPr>
          <w:rFonts w:ascii="Times New Roman" w:hAnsi="Times New Roman" w:cs="Times New Roman"/>
        </w:rPr>
        <w:t>，“代码</w:t>
      </w:r>
      <w:r>
        <w:t>之</w:t>
      </w:r>
      <w:r>
        <w:rPr>
          <w:rFonts w:ascii="Times New Roman" w:hAnsi="Times New Roman" w:cs="Times New Roman"/>
        </w:rPr>
        <w:t>治”</w:t>
      </w:r>
      <w:r>
        <w:rPr>
          <w:rStyle w:val="FootnoteReference"/>
          <w:rFonts w:ascii="Times New Roman" w:hAnsi="Times New Roman" w:cs="Times New Roman"/>
        </w:rPr>
        <w:footnoteReference w:id="3"/>
      </w:r>
      <w:r>
        <w:rPr>
          <w:rFonts w:ascii="Times New Roman" w:hAnsi="Times New Roman" w:cs="Times New Roman"/>
        </w:rPr>
        <w:t>与“法治”</w:t>
      </w:r>
      <w:r>
        <w:rPr>
          <w:rStyle w:val="FootnoteReference"/>
          <w:rFonts w:ascii="Times New Roman" w:hAnsi="Times New Roman" w:cs="Times New Roman"/>
        </w:rPr>
        <w:footnoteReference w:id="4"/>
      </w:r>
      <w:r>
        <w:rPr>
          <w:rFonts w:ascii="Times New Roman" w:hAnsi="Times New Roman" w:cs="Times New Roman"/>
        </w:rPr>
        <w:t xml:space="preserve">之间的相互作用</w:t>
      </w:r>
      <w:r>
        <w:rPr>
          <w:rFonts w:ascii="Times New Roman" w:hAnsi="Times New Roman" w:cs="Times New Roman"/>
        </w:rPr>
        <w:t>，更具体地说，是在区块链</w:t>
      </w:r>
      <w:r>
        <w:rPr>
          <w:rStyle w:val="FootnoteReference"/>
          <w:rFonts w:ascii="Times New Roman" w:hAnsi="Times New Roman" w:cs="Times New Roman"/>
        </w:rPr>
        <w:footnoteReference w:id="5"/>
      </w:r>
      <w:r>
        <w:rPr>
          <w:rFonts w:ascii="Times New Roman" w:hAnsi="Times New Roman" w:cs="Times New Roman"/>
        </w:rPr>
        <w:t xml:space="preserve">这一形式下的相互作用</w:t>
      </w:r>
      <w:r>
        <w:rPr>
          <w:rFonts w:ascii="Times New Roman" w:hAnsi="Times New Roman" w:cs="Times New Roman"/>
        </w:rPr>
        <w:t xml:space="preserve">。 不妨先指出这一探索中存在的一丝荒谬感——此处“</w:t>
      </w:r>
      <w:r>
        <w:rPr>
          <w:rFonts w:ascii="Times New Roman" w:hAnsi="Times New Roman" w:cs="Times New Roman"/>
        </w:rPr>
        <w:t xml:space="preserve">荒谬</w:t>
      </w:r>
      <w:r>
        <w:rPr>
          <w:rFonts w:ascii="Times New Roman" w:hAnsi="Times New Roman" w:cs="Times New Roman"/>
        </w:rPr>
        <w:t xml:space="preserve">”（</w:t>
      </w:r>
      <w:r>
        <w:rPr>
          <w:rFonts w:ascii="Times New Roman" w:hAnsi="Times New Roman" w:cs="Times New Roman"/>
        </w:rPr>
        <w:t xml:space="preserve">absurd</w:t>
      </w:r>
      <w:r>
        <w:rPr>
          <w:rFonts w:ascii="Times New Roman" w:hAnsi="Times New Roman" w:cs="Times New Roman"/>
        </w:rPr>
        <w:t xml:space="preserve">）一词采用古义</w:t>
      </w:r>
      <w:r>
        <w:rPr>
          <w:rFonts w:ascii="Times New Roman" w:hAnsi="Times New Roman" w:cs="Times New Roman"/>
        </w:rPr>
        <w:t xml:space="preserve">（源自拉丁语“absurdus”），意指（至少在听者耳中）刺耳且相互冲突的声音，因而从对秩序与结构的预期角度来看，这种声音是毫无意义的</w:t>
      </w:r>
      <w:r>
        <w:rPr>
          <w:rFonts w:ascii="Times New Roman" w:hAnsi="Times New Roman" w:cs="Times New Roman"/>
        </w:rPr>
        <w:t xml:space="preserve">。</w:t>
      </w:r>
      <w:r>
        <w:rPr>
          <w:rStyle w:val="FootnoteReference"/>
          <w:rFonts w:ascii="Times New Roman" w:hAnsi="Times New Roman" w:cs="Times New Roman"/>
        </w:rPr>
        <w:footnoteReference w:id="6"/>
      </w:r>
      <w:r>
        <w:rPr>
          <w:rFonts w:ascii="Times New Roman" w:hAnsi="Times New Roman" w:cs="Times New Roman"/>
        </w:rPr>
        <w:t xml:space="preserve"> 尼采曾以讥讽的笔触批评英国人及其哲学尝试，指责其对功利性的痴迷，即对“现代性”的执念</w:t>
      </w:r>
      <w:r>
        <w:rPr>
          <w:rFonts w:ascii="Times New Roman" w:hAnsi="Times New Roman" w:cs="Times New Roman"/>
        </w:rPr>
        <w:t xml:space="preserve">。</w:t>
      </w:r>
      <w:r>
        <w:rPr>
          <w:rStyle w:val="FootnoteReference"/>
          <w:rFonts w:ascii="Times New Roman" w:hAnsi="Times New Roman" w:cs="Times New Roman"/>
        </w:rPr>
        <w:footnoteReference w:id="7"/>
      </w:r>
      <w:r>
        <w:rPr>
          <w:rFonts w:ascii="Times New Roman" w:hAnsi="Times New Roman" w:cs="Times New Roman"/>
        </w:rPr>
        <w:t xml:space="preserve"> 这种痴迷如今似乎已渗透并充斥了虚拟世界，更具体地说，渗透并充斥了人类试图用以填充该世界的智能系统——而人类在构建这些系统时，却几乎未曾深思“实用性”这一组织参数及其局限性</w:t>
      </w:r>
      <w:r>
        <w:rPr>
          <w:rFonts w:ascii="Times New Roman" w:hAnsi="Times New Roman" w:cs="Times New Roman"/>
        </w:rPr>
        <w:t xml:space="preserve">。</w:t>
      </w:r>
      <w:r>
        <w:rPr>
          <w:rStyle w:val="FootnoteReference"/>
          <w:rFonts w:ascii="Times New Roman" w:hAnsi="Times New Roman" w:cs="Times New Roman"/>
        </w:rPr>
        <w:footnoteReference w:id="8"/>
      </w:r>
      <w:r>
        <w:rPr>
          <w:rFonts w:ascii="Times New Roman" w:hAnsi="Times New Roman" w:cs="Times New Roman"/>
        </w:rPr>
        <w:t xml:space="preserve"> 20世纪80年代的赛博朋克们或许确实说对了：他们所谈论的不是奥林匹斯式的秩序，而是网络无政府状态；他们所描述的机器与人类编码的碎裂，或许能将代码规则与法律的结构耦合问题重新定义为截然不同的形态</w:t>
      </w:r>
      <w:r>
        <w:rPr>
          <w:rFonts w:ascii="Times New Roman" w:hAnsi="Times New Roman" w:cs="Times New Roman"/>
        </w:rPr>
        <w:t xml:space="preserve">。</w:t>
      </w:r>
      <w:r>
        <w:rPr>
          <w:rStyle w:val="FootnoteReference"/>
          <w:rFonts w:ascii="Times New Roman" w:hAnsi="Times New Roman" w:cs="Times New Roman"/>
        </w:rPr>
        <w:footnoteReference w:id="9"/>
      </w:r>
      <w:r>
        <w:rPr>
          <w:rFonts w:ascii="Times New Roman" w:hAnsi="Times New Roman" w:cs="Times New Roman"/>
        </w:rPr>
        <w:t xml:space="preserve"> 因此，不妨花一点时间，从现象学、符号学、语言以及集体意义建构的角度，来审视这种痴迷及其在人类和机器中的虚拟表现。</w:t>
      </w:r>
    </w:p>
    <w:p w:rsidRPr="002162E0" w:rsidR="00DF35B2" w:rsidP="00170CC5" w:rsidRDefault="00DF35B2" w14:paraId="5FED5D45" w14:textId="77777777">
      <w:pPr>
        <w:ind w:firstLine="720"/>
        <w:rPr>
          <w:rFonts w:ascii="Times New Roman" w:hAnsi="Times New Roman" w:cs="Times New Roman"/>
        </w:rPr>
      </w:pPr>
    </w:p>
    <w:p w:rsidRPr="002162E0" w:rsidR="00D33081" w:rsidP="00257379" w:rsidRDefault="004233BE" w14:paraId="27EEB1D0" w14:textId="57760AB8">
      <w:pPr>
        <w:ind w:firstLine="720"/>
        <w:rPr>
          <w:rFonts w:ascii="Times New Roman" w:hAnsi="Times New Roman" w:cs="Times New Roman"/>
        </w:rPr>
      </w:pPr>
      <w:r>
        <w:rPr>
          <w:rFonts w:ascii="Times New Roman" w:hAnsi="Times New Roman" w:cs="Times New Roman"/>
        </w:rPr>
        <w:t xml:space="preserve">现代性几乎已成为一个陈词滥调</w:t>
      </w:r>
      <w:r>
        <w:rPr>
          <w:rStyle w:val="FootnoteReference"/>
          <w:rFonts w:ascii="Times New Roman" w:hAnsi="Times New Roman" w:cs="Times New Roman"/>
        </w:rPr>
        <w:footnoteReference w:id="10"/>
      </w:r>
      <w:r>
        <w:rPr>
          <w:rFonts w:ascii="Times New Roman" w:hAnsi="Times New Roman" w:cs="Times New Roman"/>
        </w:rPr>
        <w:t xml:space="preserve"> ，即人类集体组织管理中一些最深刻、最引人入胜且最具基础性的转变——更重要的是，其对周围现实的理性化——往往可以从最微小、最看似无关紧要的进步中推演出来。 因此，我们也可以这样看待区块链——作为一项技术，作为促进个体与其集体机构之间结构耦合的手段，以及从根本层面而言，作为一种</w:t>
      </w:r>
      <w:r>
        <w:rPr>
          <w:rFonts w:ascii="Times New Roman" w:hAnsi="Times New Roman" w:cs="Times New Roman"/>
        </w:rPr>
        <w:lastRenderedPageBreak/>
      </w:r>
      <w:r>
        <w:rPr>
          <w:rFonts w:ascii="Times New Roman" w:hAnsi="Times New Roman" w:cs="Times New Roman"/>
        </w:rPr>
        <w:t xml:space="preserve"> 管理人类集体的意识形态，以及它所体现的一种独特且相当具体的组织现实的形式</w:t>
      </w:r>
      <w:r>
        <w:rPr>
          <w:rFonts w:ascii="Times New Roman" w:hAnsi="Times New Roman" w:cs="Times New Roman"/>
        </w:rPr>
        <w:t xml:space="preserve">。</w:t>
      </w:r>
      <w:r>
        <w:rPr>
          <w:rStyle w:val="FootnoteReference"/>
          <w:rFonts w:ascii="Times New Roman" w:hAnsi="Times New Roman" w:cs="Times New Roman"/>
        </w:rPr>
        <w:footnoteReference w:id="11"/>
      </w:r>
      <w:r>
        <w:rPr>
          <w:rFonts w:ascii="Times New Roman" w:hAnsi="Times New Roman" w:cs="Times New Roman"/>
        </w:rPr>
        <w:t xml:space="preserve"> 与此同时，这一陈词滥调既成为一种威胁，也成为一种强迫/诱惑：当现代性“丧失了理性与进步的意识形态驱动力，越来越沉溺于变革的形式游戏”，并被简化为“日常事件的文化”时，</w:t>
      </w:r>
      <w:r>
        <w:rPr>
          <w:rFonts w:ascii="Times New Roman" w:hAnsi="Times New Roman" w:cs="Times New Roman"/>
        </w:rPr>
        <w:t xml:space="preserve">它</w:t>
      </w:r>
      <w:r>
        <w:rPr>
          <w:rFonts w:ascii="Times New Roman" w:hAnsi="Times New Roman" w:cs="Times New Roman"/>
        </w:rPr>
        <w:t xml:space="preserve">如今发现“</w:t>
      </w:r>
      <w:r>
        <w:rPr>
          <w:rFonts w:ascii="Times New Roman" w:hAnsi="Times New Roman" w:cs="Times New Roman"/>
        </w:rPr>
        <w:t xml:space="preserve">就连</w:t>
      </w:r>
      <w:r>
        <w:rPr>
          <w:rFonts w:ascii="Times New Roman" w:hAnsi="Times New Roman" w:cs="Times New Roman"/>
        </w:rPr>
        <w:t xml:space="preserve">其神话也反噬自身（曾经凯旋的技术，如今却充满威胁）”。</w:t>
      </w:r>
      <w:r>
        <w:rPr>
          <w:rStyle w:val="FootnoteReference"/>
          <w:rFonts w:ascii="Times New Roman" w:hAnsi="Times New Roman" w:cs="Times New Roman"/>
        </w:rPr>
        <w:footnoteReference w:id="12"/>
      </w:r>
    </w:p>
    <w:p w:rsidRPr="002162E0" w:rsidR="00D33081" w:rsidP="00FF1F0B" w:rsidRDefault="00D33081" w14:paraId="173B6B6B" w14:textId="77777777">
      <w:pPr>
        <w:rPr>
          <w:rFonts w:ascii="Times New Roman" w:hAnsi="Times New Roman" w:cs="Times New Roman"/>
        </w:rPr>
      </w:pPr>
    </w:p>
    <w:p w:rsidRPr="002162E0" w:rsidR="00AE5A61" w:rsidP="00170CC5" w:rsidRDefault="00ED38E4" w14:paraId="609ADA9E" w14:textId="1FB8147A">
      <w:pPr>
        <w:ind w:firstLine="720"/>
        <w:rPr>
          <w:rFonts w:ascii="Times New Roman" w:hAnsi="Times New Roman" w:cs="Times New Roman"/>
        </w:rPr>
      </w:pPr>
      <w:r>
        <w:rPr>
          <w:rFonts w:ascii="Times New Roman" w:hAnsi="Times New Roman" w:cs="Times New Roman"/>
        </w:rPr>
        <w:t xml:space="preserve">作为区块链而显现的认知牢笼的核心——它在现实空间中通过</w:t>
      </w:r>
      <w:r>
        <w:rPr>
          <w:rFonts w:ascii="Times New Roman" w:hAnsi="Times New Roman" w:cs="Times New Roman"/>
          <w:i/>
          <w:iCs/>
        </w:rPr>
        <w:t xml:space="preserve">数字化</w:t>
      </w:r>
      <w:r>
        <w:rPr>
          <w:rFonts w:ascii="Times New Roman" w:hAnsi="Times New Roman" w:cs="Times New Roman"/>
        </w:rPr>
        <w:t xml:space="preserve">数据位</w:t>
      </w:r>
      <w:r>
        <w:rPr>
          <w:rFonts w:ascii="Times New Roman" w:hAnsi="Times New Roman" w:cs="Times New Roman"/>
        </w:rPr>
        <w:t xml:space="preserve">呈现</w:t>
      </w:r>
      <w:r>
        <w:rPr>
          <w:rFonts w:ascii="Times New Roman" w:hAnsi="Times New Roman" w:cs="Times New Roman"/>
        </w:rPr>
        <w:t xml:space="preserve">，这些数据</w:t>
      </w:r>
      <w:r>
        <w:rPr>
          <w:rFonts w:ascii="Times New Roman" w:hAnsi="Times New Roman" w:cs="Times New Roman"/>
        </w:rPr>
        <w:t xml:space="preserve">位对参与者</w:t>
      </w:r>
      <w:r>
        <w:rPr>
          <w:rFonts w:ascii="Times New Roman" w:hAnsi="Times New Roman" w:cs="Times New Roman"/>
        </w:rPr>
        <w:t xml:space="preserve">具有重要</w:t>
      </w:r>
      <w:r>
        <w:rPr>
          <w:rFonts w:ascii="Times New Roman" w:hAnsi="Times New Roman" w:cs="Times New Roman"/>
        </w:rPr>
        <w:t xml:space="preserve">意义</w:t>
      </w:r>
      <w:r>
        <w:rPr>
          <w:rStyle w:val="FootnoteReference"/>
          <w:rFonts w:ascii="Times New Roman" w:hAnsi="Times New Roman" w:cs="Times New Roman"/>
        </w:rPr>
        <w:footnoteReference w:id="13"/>
      </w:r>
      <w:r>
        <w:rPr>
          <w:rFonts w:ascii="Times New Roman" w:hAnsi="Times New Roman" w:cs="Times New Roman"/>
        </w:rPr>
        <w:t xml:space="preserve"> ，并按时间顺序排列——其本质看似简单：即创建一个数字账本。正如其名，该数字账本是一个用于记录事物的空间——这些事物对那些愿意投入时间和精力去创建它的人而言，具有兴趣或价值。 从符号学的角度来看，这里呈现的是对一个（在时间和空间上）离散对象的模仿，该对象通过其虚拟表征获得意义，而这种意义又因其超越数字化账本的影响而自身变得真实</w:t>
      </w:r>
      <w:r>
        <w:rPr>
          <w:rFonts w:ascii="Times New Roman" w:hAnsi="Times New Roman" w:cs="Times New Roman"/>
        </w:rPr>
        <w:t xml:space="preserve">。</w:t>
      </w:r>
      <w:r>
        <w:rPr>
          <w:rStyle w:val="FootnoteReference"/>
          <w:rFonts w:ascii="Times New Roman" w:hAnsi="Times New Roman" w:cs="Times New Roman"/>
        </w:rPr>
        <w:footnoteReference w:id="14"/>
      </w:r>
      <w:r>
        <w:rPr>
          <w:rFonts w:ascii="Times New Roman" w:hAnsi="Times New Roman" w:cs="Times New Roman"/>
        </w:rPr>
        <w:t xml:space="preserve"> 起初，人们记录交易并发展出一种类似于自指性货币的东西（而所有货币，无论是数字的还是模拟的，从定义上讲都是自指性的，因为其价值取决于通过使用对其价值的集体信念）。</w:t>
      </w:r>
      <w:r>
        <w:rPr>
          <w:rStyle w:val="FootnoteReference"/>
          <w:rFonts w:ascii="Times New Roman" w:hAnsi="Times New Roman" w:cs="Times New Roman"/>
        </w:rPr>
        <w:footnoteReference w:id="15"/>
      </w:r>
      <w:r>
        <w:rPr>
          <w:rFonts w:ascii="Times New Roman" w:hAnsi="Times New Roman" w:cs="Times New Roman"/>
        </w:rPr>
        <w:t xml:space="preserve"> 然而，没有任何东西能阻止人们记录</w:t>
      </w:r>
      <w:r>
        <w:rPr>
          <w:rFonts w:ascii="Times New Roman" w:hAnsi="Times New Roman" w:cs="Times New Roman"/>
          <w:i/>
          <w:iCs/>
        </w:rPr>
        <w:t xml:space="preserve">任何</w:t>
      </w:r>
      <w:r>
        <w:rPr>
          <w:rFonts w:ascii="Times New Roman" w:hAnsi="Times New Roman" w:cs="Times New Roman"/>
        </w:rPr>
        <w:t xml:space="preserve">一组数据位——只要一个或多个提供者赋予其意义，这或许仅受限于顺序排列的交易流和记忆流的基本结构中所固有的时间性限制。</w:t>
      </w:r>
      <w:r>
        <w:rPr>
          <w:rStyle w:val="FootnoteReference"/>
          <w:rFonts w:ascii="Times New Roman" w:hAnsi="Times New Roman" w:cs="Times New Roman"/>
        </w:rPr>
        <w:footnoteReference w:id="16"/>
      </w:r>
    </w:p>
    <w:p w:rsidRPr="002162E0" w:rsidR="00AE5A61" w:rsidP="00FF1F0B" w:rsidRDefault="00AE5A61" w14:paraId="371CDD20" w14:textId="77777777">
      <w:pPr>
        <w:rPr>
          <w:rFonts w:ascii="Times New Roman" w:hAnsi="Times New Roman" w:cs="Times New Roman"/>
        </w:rPr>
      </w:pPr>
    </w:p>
    <w:p w:rsidRPr="002162E0" w:rsidR="00AE5A61" w:rsidP="00170CC5" w:rsidRDefault="003A2E98" w14:paraId="7553ADEC" w14:textId="668613B3">
      <w:pPr>
        <w:ind w:firstLine="720"/>
        <w:rPr>
          <w:rFonts w:ascii="Times New Roman" w:hAnsi="Times New Roman" w:cs="Times New Roman"/>
        </w:rPr>
      </w:pPr>
      <w:r>
        <w:rPr>
          <w:rFonts w:ascii="Times New Roman" w:hAnsi="Times New Roman" w:cs="Times New Roman"/>
        </w:rPr>
        <w:t xml:space="preserve">尽管如此，当自我指涉的单位是自主个体时，这种意义赋予便价值甚微</w:t>
      </w:r>
      <w:r>
        <w:rPr>
          <w:rFonts w:ascii="Times New Roman" w:hAnsi="Times New Roman" w:cs="Times New Roman"/>
        </w:rPr>
        <w:t xml:space="preserve">。</w:t>
      </w:r>
      <w:r>
        <w:rPr>
          <w:rStyle w:val="FootnoteReference"/>
          <w:rFonts w:ascii="Times New Roman" w:hAnsi="Times New Roman" w:cs="Times New Roman"/>
        </w:rPr>
        <w:footnoteReference w:id="17"/>
      </w:r>
      <w:r>
        <w:rPr>
          <w:rFonts w:ascii="Times New Roman" w:hAnsi="Times New Roman" w:cs="Times New Roman"/>
        </w:rPr>
        <w:t xml:space="preserve"> 这里所谈的是身份，即一个对象的构成——它并非其自身本身，而是作为意义的容器，这种意义是由其构成部分（数据）聚合而成的，但又作为独立实体而自主于这些部分——实际上或许类似于“身份”的机器/过程版本</w:t>
      </w:r>
      <w:r>
        <w:rPr>
          <w:rFonts w:ascii="Times New Roman" w:hAnsi="Times New Roman" w:cs="Times New Roman"/>
        </w:rPr>
        <w:lastRenderedPageBreak/>
      </w:r>
      <w:r>
        <w:rPr>
          <w:rFonts w:ascii="Times New Roman" w:hAnsi="Times New Roman" w:cs="Times New Roman"/>
        </w:rPr>
        <w:t xml:space="preserve"> ，这正是上个世纪的核心符号学问题</w:t>
      </w:r>
      <w:r>
        <w:rPr>
          <w:rFonts w:ascii="Times New Roman" w:hAnsi="Times New Roman" w:cs="Times New Roman"/>
        </w:rPr>
        <w:t xml:space="preserve">。</w:t>
      </w:r>
      <w:r>
        <w:rPr>
          <w:rStyle w:val="FootnoteReference"/>
          <w:rFonts w:ascii="Times New Roman" w:hAnsi="Times New Roman" w:cs="Times New Roman"/>
        </w:rPr>
        <w:footnoteReference w:id="18"/>
      </w:r>
      <w:r>
        <w:rPr>
          <w:rFonts w:ascii="Times New Roman" w:hAnsi="Times New Roman" w:cs="Times New Roman"/>
        </w:rPr>
        <w:t xml:space="preserve"> 当这些数字化账本获得集体意义并分布于众多数字化空间（计算机或其他以模仿形式承载虚拟“记忆”的载体）时，这种记录行为对于社会关系的秩序构建便显得尤为有趣。</w:t>
      </w:r>
      <w:r>
        <w:rPr>
          <w:rStyle w:val="FootnoteReference"/>
          <w:rFonts w:ascii="Times New Roman" w:hAnsi="Times New Roman" w:cs="Times New Roman"/>
        </w:rPr>
        <w:footnoteReference w:id="19"/>
      </w:r>
      <w:r>
        <w:rPr>
          <w:rFonts w:ascii="Times New Roman" w:hAnsi="Times New Roman" w:cs="Times New Roman"/>
        </w:rPr>
        <w:t xml:space="preserve"> 在此，人们不仅面对记忆，更面对区块链中的信任管理。</w:t>
      </w:r>
      <w:r>
        <w:rPr>
          <w:rStyle w:val="FootnoteReference"/>
          <w:rFonts w:ascii="Times New Roman" w:hAnsi="Times New Roman" w:cs="Times New Roman"/>
        </w:rPr>
        <w:footnoteReference w:id="20"/>
      </w:r>
      <w:r>
        <w:rPr>
          <w:rFonts w:ascii="Times New Roman" w:hAnsi="Times New Roman" w:cs="Times New Roman"/>
        </w:rPr>
        <w:t xml:space="preserve"> 由此可知，人们以虚拟形式为账本中记录的“记忆”创造了透明度和可信度——因为此类记忆更难被污染或以其他方式篡改。它们可以被追加，但无法被覆盖；</w:t>
      </w:r>
      <w:r>
        <w:rPr>
          <w:rStyle w:val="FootnoteReference"/>
          <w:rFonts w:ascii="Times New Roman" w:hAnsi="Times New Roman" w:cs="Times New Roman"/>
        </w:rPr>
        <w:footnoteReference w:id="21"/>
      </w:r>
      <w:r>
        <w:rPr>
          <w:rFonts w:ascii="Times New Roman" w:hAnsi="Times New Roman" w:cs="Times New Roman"/>
        </w:rPr>
        <w:t xml:space="preserve"> 因此，它们在虚拟时空中的存在本身是不可改变的。 这种不可更改性为实用性提供了强有力的基础——其意义在于，它充实了其被创造所针对的认知空间，并自身成为消费、使用、协商或判断的对象，进而可在构建其他对象时被利用，同时又不失其历史真实性</w:t>
      </w:r>
      <w:r>
        <w:rPr>
          <w:rFonts w:ascii="Times New Roman" w:hAnsi="Times New Roman" w:cs="Times New Roman"/>
        </w:rPr>
        <w:t xml:space="preserve">。</w:t>
      </w:r>
      <w:r>
        <w:rPr>
          <w:rStyle w:val="FootnoteReference"/>
          <w:rFonts w:ascii="Times New Roman" w:hAnsi="Times New Roman" w:cs="Times New Roman"/>
        </w:rPr>
        <w:footnoteReference w:id="22"/>
      </w:r>
      <w:r>
        <w:rPr>
          <w:rFonts w:ascii="Times New Roman" w:hAnsi="Times New Roman" w:cs="Times New Roman"/>
        </w:rPr>
        <w:t xml:space="preserve"> 这些其他对象几乎可以涵盖任何事物，从基于行为账本条目的奖惩，到基于账本条目及其应用的意义与重要性的财富核算。</w:t>
      </w:r>
      <w:r>
        <w:rPr>
          <w:rStyle w:val="FootnoteReference"/>
          <w:rFonts w:ascii="Times New Roman" w:hAnsi="Times New Roman" w:cs="Times New Roman"/>
        </w:rPr>
        <w:footnoteReference w:id="23"/>
      </w:r>
    </w:p>
    <w:p w:rsidRPr="002162E0" w:rsidR="00AE5A61" w:rsidP="00FF1F0B" w:rsidRDefault="00AE5A61" w14:paraId="221925A5" w14:textId="77777777">
      <w:pPr>
        <w:rPr>
          <w:rFonts w:ascii="Times New Roman" w:hAnsi="Times New Roman" w:cs="Times New Roman"/>
        </w:rPr>
      </w:pPr>
    </w:p>
    <w:p w:rsidRPr="002162E0" w:rsidR="00B14C8D" w:rsidP="00170CC5" w:rsidRDefault="003A2E98" w14:paraId="33657ECA" w14:textId="5BA3D4C1">
      <w:pPr>
        <w:ind w:firstLine="720"/>
        <w:rPr>
          <w:rFonts w:ascii="Times New Roman" w:hAnsi="Times New Roman" w:cs="Times New Roman"/>
        </w:rPr>
      </w:pPr>
      <w:r>
        <w:rPr>
          <w:rFonts w:ascii="Times New Roman" w:hAnsi="Times New Roman" w:cs="Times New Roman"/>
        </w:rPr>
        <w:t xml:space="preserve">与此同时，账本条目的意义集体化呈现出一种内在的集体性——这再次成为组织其认知意义的一种手段，即通过将多个账本条目组合成“区块”来实现。 随着以区块形式体现的内部集体意义被激活，认知意义变得更加深刻，从而在按时间顺序链接的“链”中的区块集合内及通过这些集合，形成了一种认知“流”（此时，时间成为代码和认知的一个要素）。</w:t>
      </w:r>
      <w:r>
        <w:rPr>
          <w:rStyle w:val="FootnoteReference"/>
          <w:rFonts w:ascii="Times New Roman" w:hAnsi="Times New Roman" w:cs="Times New Roman"/>
        </w:rPr>
        <w:footnoteReference w:id="24"/>
      </w:r>
      <w:r>
        <w:rPr>
          <w:rFonts w:ascii="Times New Roman" w:hAnsi="Times New Roman" w:cs="Times New Roman"/>
        </w:rPr>
        <w:t xml:space="preserve"> </w:t>
      </w:r>
      <w:r>
        <w:rPr>
          <w:rFonts w:ascii="Times New Roman" w:hAnsi="Times New Roman" w:cs="Times New Roman"/>
        </w:rPr>
        <w:t xml:space="preserve">然而，所有这些所产生的认知系统并不具备</w:t>
      </w:r>
      <w:r>
        <w:rPr>
          <w:rFonts w:ascii="Times New Roman" w:hAnsi="Times New Roman" w:cs="Times New Roman"/>
        </w:rPr>
        <w:t xml:space="preserve">自我</w:t>
      </w:r>
      <w:r>
        <w:rPr>
          <w:rFonts w:ascii="Times New Roman" w:hAnsi="Times New Roman" w:cs="Times New Roman"/>
        </w:rPr>
        <w:lastRenderedPageBreak/>
      </w:r>
      <w:r>
        <w:rPr>
          <w:rFonts w:ascii="Times New Roman" w:hAnsi="Times New Roman" w:cs="Times New Roman"/>
        </w:rPr>
        <w:t>意识。 还需要其他要素——而这一要素正是网络中的“节点”，它们承载着区块链中账本的副本。</w:t>
      </w:r>
      <w:r>
        <w:rPr>
          <w:rStyle w:val="FootnoteReference"/>
          <w:rFonts w:ascii="Times New Roman" w:hAnsi="Times New Roman" w:cs="Times New Roman"/>
        </w:rPr>
        <w:footnoteReference w:id="25"/>
      </w:r>
      <w:r>
        <w:rPr>
          <w:rFonts w:ascii="Times New Roman" w:hAnsi="Times New Roman" w:cs="Times New Roman"/>
        </w:rPr>
        <w:t xml:space="preserve"> 节点也是对象，但它们是位于“区块”所构成的“链”之外的对象，数据正是围绕着这些“区块”通过数字化记录组织起来的，这些记录对应着被选中进行此类虚拟化的任何对象。 从某种意义上说，节点是构成集体成员的物理用户界面，在这个集体中，由区块内数据账本条目组成的自指系统——这些条目按时间链式连接——可以通过产生后果或行动（从而在链上生成新的区块）而被“激活”。 节点既是时间“区块”——“链”中创造的现实的守护者，也是受益者，它们通过保护“过去”的完整性，并提供基于共识的协议来验证链上新区块形式的激活后果（虽然未必如此，但节点也模仿了其所源自的更根本的秩序意识形态）。</w:t>
      </w:r>
      <w:r>
        <w:rPr>
          <w:rStyle w:val="FootnoteReference"/>
          <w:rFonts w:ascii="Times New Roman" w:hAnsi="Times New Roman" w:cs="Times New Roman"/>
        </w:rPr>
        <w:footnoteReference w:id="26"/>
      </w:r>
    </w:p>
    <w:p w:rsidRPr="002162E0" w:rsidR="00B14C8D" w:rsidP="00FF1F0B" w:rsidRDefault="00B14C8D" w14:paraId="29A55DAD" w14:textId="77777777">
      <w:pPr>
        <w:rPr>
          <w:rFonts w:ascii="Times New Roman" w:hAnsi="Times New Roman" w:cs="Times New Roman"/>
        </w:rPr>
      </w:pPr>
    </w:p>
    <w:p w:rsidRPr="002162E0" w:rsidR="007E5EC6" w:rsidP="006E6407" w:rsidRDefault="00B14C8D" w14:paraId="62225A98" w14:textId="50E18271">
      <w:pPr>
        <w:ind w:firstLine="720"/>
        <w:rPr>
          <w:rFonts w:ascii="Times New Roman" w:hAnsi="Times New Roman" w:cs="Times New Roman"/>
        </w:rPr>
      </w:pPr>
      <w:r>
        <w:rPr>
          <w:rFonts w:ascii="Times New Roman" w:hAnsi="Times New Roman" w:cs="Times New Roman"/>
        </w:rPr>
        <w:t xml:space="preserve">正是通过整合数字技术来自动化各项任务（包括数据保留），</w:t>
      </w:r>
      <w:r>
        <w:rPr>
          <w:rFonts w:ascii="Times New Roman" w:hAnsi="Times New Roman" w:cs="Times New Roman"/>
          <w:i/>
          <w:iCs/>
        </w:rPr>
        <w:t xml:space="preserve">数字化</w:t>
      </w:r>
      <w:r>
        <w:rPr>
          <w:rStyle w:val="FootnoteReference"/>
          <w:rFonts w:ascii="Times New Roman" w:hAnsi="Times New Roman" w:cs="Times New Roman"/>
          <w:i/>
          <w:iCs/>
        </w:rPr>
        <w:footnoteReference w:id="27"/>
      </w:r>
      <w:r>
        <w:rPr>
          <w:rFonts w:ascii="Times New Roman" w:hAnsi="Times New Roman" w:cs="Times New Roman"/>
        </w:rPr>
        <w:t xml:space="preserve"> </w:t>
      </w:r>
      <w:r>
        <w:rPr>
          <w:rFonts w:ascii="Times New Roman" w:hAnsi="Times New Roman" w:cs="Times New Roman"/>
        </w:rPr>
        <w:t xml:space="preserve">在此</w:t>
      </w:r>
      <w:r>
        <w:rPr>
          <w:rFonts w:ascii="Times New Roman" w:hAnsi="Times New Roman" w:cs="Times New Roman"/>
        </w:rPr>
        <w:t xml:space="preserve">发生。 节点本身，在大多数情况下，是作为其物理载体的计算机或服务器。这些物理载体通过一个元操作系统运行，就区块链而言，更具体地说</w:t>
      </w:r>
      <w:r>
        <w:rPr>
          <w:rFonts w:ascii="Times New Roman" w:hAnsi="Times New Roman" w:cs="Times New Roman"/>
        </w:rPr>
        <w:t xml:space="preserve">，</w:t>
      </w:r>
      <w:r>
        <w:rPr>
          <w:rFonts w:ascii="Times New Roman" w:hAnsi="Times New Roman" w:cs="Times New Roman"/>
        </w:rPr>
        <w:t xml:space="preserve">是通过</w:t>
      </w:r>
      <w:r>
        <w:rPr>
          <w:rFonts w:ascii="Times New Roman" w:hAnsi="Times New Roman" w:cs="Times New Roman"/>
          <w:i/>
          <w:iCs/>
        </w:rPr>
        <w:t xml:space="preserve">一套软件</w:t>
      </w:r>
      <w:r>
        <w:rPr>
          <w:rFonts w:ascii="Times New Roman" w:hAnsi="Times New Roman" w:cs="Times New Roman"/>
        </w:rPr>
        <w:t xml:space="preserve">运行，该软件规定了适用于每个节点的操作规则，并在与构成区块链集体的所有其他被接纳节点共同协作时，对其行为进行限制。 软件本身是一组人类可读的、有时</w:t>
      </w:r>
      <w:r>
        <w:rPr>
          <w:rFonts w:ascii="Times New Roman" w:hAnsi="Times New Roman" w:cs="Times New Roman"/>
        </w:rPr>
        <w:t xml:space="preserve">由</w:t>
      </w:r>
      <w:r>
        <w:rPr>
          <w:rFonts w:ascii="Times New Roman" w:hAnsi="Times New Roman" w:cs="Times New Roman"/>
        </w:rPr>
        <w:t xml:space="preserve">人类编写的、</w:t>
      </w:r>
      <w:r>
        <w:rPr>
          <w:rFonts w:ascii="Times New Roman" w:hAnsi="Times New Roman" w:cs="Times New Roman"/>
          <w:i/>
          <w:iCs/>
        </w:rPr>
        <w:t xml:space="preserve">采用编程语言的</w:t>
      </w:r>
      <w:r>
        <w:rPr>
          <w:rStyle w:val="FootnoteReference"/>
          <w:rFonts w:ascii="Times New Roman" w:hAnsi="Times New Roman" w:cs="Times New Roman"/>
        </w:rPr>
        <w:footnoteReference w:id="28"/>
      </w:r>
      <w:r>
        <w:rPr>
          <w:rFonts w:ascii="Times New Roman" w:hAnsi="Times New Roman" w:cs="Times New Roman"/>
          <w:i/>
          <w:iCs/>
        </w:rPr>
        <w:t xml:space="preserve"> 指令</w:t>
      </w:r>
      <w:r>
        <w:rPr>
          <w:rFonts w:ascii="Times New Roman" w:hAnsi="Times New Roman" w:cs="Times New Roman"/>
        </w:rPr>
        <w:t xml:space="preserve">，这种</w:t>
      </w:r>
      <w:r>
        <w:rPr>
          <w:rFonts w:ascii="Times New Roman" w:hAnsi="Times New Roman" w:cs="Times New Roman"/>
          <w:i/>
          <w:iCs/>
        </w:rPr>
        <w:t xml:space="preserve">编程语言</w:t>
      </w:r>
      <w:r>
        <w:rPr>
          <w:rFonts w:ascii="Times New Roman" w:hAnsi="Times New Roman" w:cs="Times New Roman"/>
        </w:rPr>
        <w:t xml:space="preserve">同样是由人类传统上设计并为其带来乐趣（实用性）的，它为计算机利用现有数据执行特定任务提供了基础，而数据的数字化本身也是软件编码的产物。 </w:t>
      </w:r>
      <w:r>
        <w:rPr>
          <w:rFonts w:ascii="Times New Roman" w:hAnsi="Times New Roman" w:cs="Times New Roman"/>
          <w:i/>
          <w:iCs/>
        </w:rPr>
        <w:t xml:space="preserve">编码</w:t>
      </w:r>
      <w:r>
        <w:rPr>
          <w:rFonts w:ascii="Times New Roman" w:hAnsi="Times New Roman" w:cs="Times New Roman"/>
        </w:rPr>
        <w:t xml:space="preserve">（源代码编写）本身就是以人类可读形式编写软件的过程；这是人类与（存在于硬件躯体中的）虚拟智能进行沟通的方式，但未必是虚拟智能之间相互沟通的方式。 为此，虚拟智能之间使用机器语言进行通信——这是一系列二进制代码，计算机处理器可利用它们执行命令，包括最终编写自身代码并执行自身机器语言指令的命令。它还包括对象编码（源代码编译器生成的机器可读输出）和可执行代码（计算机操作程序，有时采用众所周知的.exe格式，即用户的程序文件）。 人类可以阅读源代码，但无法</w:t>
      </w:r>
      <w:r>
        <w:rPr>
          <w:rFonts w:ascii="Times New Roman" w:hAnsi="Times New Roman" w:cs="Times New Roman"/>
        </w:rPr>
        <w:t xml:space="preserve">解读</w:t>
      </w:r>
      <w:r>
        <w:rPr>
          <w:rFonts w:ascii="Times New Roman" w:hAnsi="Times New Roman" w:cs="Times New Roman"/>
        </w:rPr>
        <w:t xml:space="preserve">机器代码和目标代码。</w:t>
      </w:r>
      <w:r>
        <w:rPr>
          <w:rStyle w:val="FootnoteReference"/>
          <w:rFonts w:ascii="Times New Roman" w:hAnsi="Times New Roman" w:cs="Times New Roman"/>
        </w:rPr>
        <w:footnoteReference w:id="29"/>
      </w:r>
      <w:r>
        <w:rPr>
          <w:rFonts w:ascii="Times New Roman" w:hAnsi="Times New Roman" w:cs="Times New Roman"/>
        </w:rPr>
        <w:t xml:space="preserve"> 源代码用于编程（至少在</w:t>
      </w:r>
      <w:r>
        <w:rPr>
          <w:rFonts w:ascii="Times New Roman" w:hAnsi="Times New Roman" w:cs="Times New Roman"/>
        </w:rPr>
        <w:lastRenderedPageBreak/>
      </w:r>
      <w:r>
        <w:rPr>
          <w:rFonts w:ascii="Times New Roman" w:hAnsi="Times New Roman" w:cs="Times New Roman"/>
        </w:rPr>
        <w:t xml:space="preserve"> 初期如此），而机器代码用于执行（包括允许机器代码进行自身源代码编写的执行）。正是在此，代码规则与法律规则的独立性得以体现——这种独立性内置于这些系统的语言之中，这些系统既构成了一个监管秩序，又筑起了壁垒，防止其他监管规则秩序向内渗透。</w:t>
      </w:r>
      <w:r>
        <w:rPr>
          <w:rStyle w:val="FootnoteReference"/>
          <w:rFonts w:ascii="Times New Roman" w:hAnsi="Times New Roman" w:cs="Times New Roman"/>
        </w:rPr>
        <w:footnoteReference w:id="30"/>
      </w:r>
    </w:p>
    <w:p w:rsidRPr="002162E0" w:rsidR="007E5EC6" w:rsidP="00FF1F0B" w:rsidRDefault="007E5EC6" w14:paraId="547E8803" w14:textId="77777777">
      <w:pPr>
        <w:rPr>
          <w:rFonts w:ascii="Times New Roman" w:hAnsi="Times New Roman" w:cs="Times New Roman"/>
        </w:rPr>
      </w:pPr>
    </w:p>
    <w:p w:rsidRPr="002162E0" w:rsidR="00B14C8D" w:rsidP="006E6407" w:rsidRDefault="007E5EC6" w14:paraId="4AE1A4AD" w14:textId="2E843F88">
      <w:pPr>
        <w:ind w:firstLine="720"/>
        <w:rPr>
          <w:rFonts w:ascii="Times New Roman" w:hAnsi="Times New Roman" w:cs="Times New Roman"/>
        </w:rPr>
      </w:pPr>
      <w:r>
        <w:rPr>
          <w:rFonts w:ascii="Times New Roman" w:hAnsi="Times New Roman" w:cs="Times New Roman"/>
        </w:rPr>
        <w:t xml:space="preserve">因此，从某种意义上说，区块链涉及三种语言的对齐——人际语言（及其独特的意义构建符号学）、人机语言（及其将更具个人价值的符号学转化为机器智能的转译），以及机器间语言，其符号学是其自身语言中内嵌可能性的函数。 正是在这种语言的对齐之中——以及随之而来的、关于规范集体意义并执行命令的符号学与现象学——人们终于能够探讨集体合法性体系的兴起，这种合法性超越了其传统表现形式，即通过行动、文本和机构所主张的实体权力</w:t>
      </w:r>
      <w:r>
        <w:rPr>
          <w:rFonts w:ascii="Times New Roman" w:hAnsi="Times New Roman" w:cs="Times New Roman"/>
        </w:rPr>
        <w:t xml:space="preserve">。</w:t>
      </w:r>
      <w:r>
        <w:rPr>
          <w:rStyle w:val="FootnoteReference"/>
          <w:rFonts w:ascii="Times New Roman" w:hAnsi="Times New Roman" w:cs="Times New Roman"/>
        </w:rPr>
        <w:footnoteReference w:id="31"/>
      </w:r>
      <w:r>
        <w:rPr>
          <w:rFonts w:ascii="Times New Roman" w:hAnsi="Times New Roman" w:cs="Times New Roman"/>
        </w:rPr>
        <w:t xml:space="preserve"> 在区块链语境下，我们聚焦于其中两</w:t>
      </w:r>
      <w:r>
        <w:rPr>
          <w:rFonts w:ascii="Times New Roman" w:hAnsi="Times New Roman" w:cs="Times New Roman"/>
          <w:i/>
          <w:iCs/>
        </w:rPr>
        <w:t xml:space="preserve">类——众所周知的“代码法”与“监管法”</w:t>
      </w:r>
      <w:r>
        <w:rPr>
          <w:rFonts w:ascii="Times New Roman" w:hAnsi="Times New Roman" w:cs="Times New Roman"/>
        </w:rPr>
        <w:t>。二者均在某种程度上秉持法治理念，它们被编码于法治的语言意义结构之中，并由此以强化或至少向监管对象彰显意义与价值的方式加以应用。 如今，人们面对的是一块“萨赫蛋糕</w:t>
      </w:r>
      <w:r>
        <w:rPr>
          <w:rFonts w:ascii="Times New Roman" w:hAnsi="Times New Roman" w:cs="Times New Roman"/>
        </w:rPr>
        <w:t>”（Sacher-Torte）——</w:t>
      </w:r>
      <w:r>
        <w:rPr>
          <w:rFonts w:ascii="Times New Roman" w:hAnsi="Times New Roman" w:cs="Times New Roman"/>
        </w:rPr>
        <w:t>至少五种语言，这三种对齐方式分布于其中——密集的蛋糕层之间以果</w:t>
      </w:r>
      <w:r>
        <w:rPr>
          <w:rFonts w:ascii="Times New Roman" w:hAnsi="Times New Roman" w:cs="Times New Roman"/>
        </w:rPr>
        <w:t>酱</w:t>
      </w:r>
      <w:r>
        <w:rPr>
          <w:rFonts w:ascii="Times New Roman" w:hAnsi="Times New Roman" w:cs="Times New Roman"/>
        </w:rPr>
        <w:t>为介质相互连接，所有这些共同构成了乍看之下简单而高效的系统。</w:t>
      </w:r>
    </w:p>
    <w:p w:rsidRPr="002162E0" w:rsidR="00C72FD8" w:rsidP="00FF1F0B" w:rsidRDefault="00C72FD8" w14:paraId="13A1DFF3" w14:textId="77777777">
      <w:pPr>
        <w:rPr>
          <w:rFonts w:ascii="Times New Roman" w:hAnsi="Times New Roman" w:cs="Times New Roman"/>
        </w:rPr>
      </w:pPr>
    </w:p>
    <w:p w:rsidRPr="002162E0" w:rsidR="000D5ED5" w:rsidP="006E6407" w:rsidRDefault="00C72FD8" w14:paraId="60679F45" w14:textId="20B50257">
      <w:pPr>
        <w:ind w:firstLine="720"/>
        <w:rPr>
          <w:rFonts w:ascii="Times New Roman" w:hAnsi="Times New Roman" w:cs="Times New Roman"/>
        </w:rPr>
      </w:pPr>
      <w:r>
        <w:rPr>
          <w:rFonts w:ascii="Times New Roman" w:hAnsi="Times New Roman" w:cs="Times New Roman"/>
        </w:rPr>
        <w:t xml:space="preserve">确实如此！这种形式的优雅令人无法抗拒。它具有民主性和反等级制特征，而这种特性只有通过技术增强的参与才能实现（至少对于那些负担得起技术及其培训费用的人而言）。</w:t>
      </w:r>
      <w:r>
        <w:rPr>
          <w:rStyle w:val="FootnoteReference"/>
          <w:rFonts w:ascii="Times New Roman" w:hAnsi="Times New Roman" w:cs="Times New Roman"/>
        </w:rPr>
        <w:footnoteReference w:id="32"/>
      </w:r>
      <w:r>
        <w:rPr>
          <w:rFonts w:ascii="Times New Roman" w:hAnsi="Times New Roman" w:cs="Times New Roman"/>
        </w:rPr>
        <w:t xml:space="preserve"> 它提供了更强的反腐败保障（其局限性仍有待检验），并具备一种平等化的透明度，以保护事实的不可篡改性——即广泛共享的数据记录，这使得数据极难被“重塑”以迎合时代潮流或权力的倾向。 其去中心化特性为人类组织监管领域中早已显现的强劲趋势开辟了一条虚拟路径——从美国复兴的联邦主义</w:t>
      </w:r>
      <w:r>
        <w:rPr>
          <w:rStyle w:val="FootnoteReference"/>
          <w:rFonts w:ascii="Times New Roman" w:hAnsi="Times New Roman" w:cs="Times New Roman"/>
        </w:rPr>
        <w:footnoteReference w:id="33"/>
      </w:r>
      <w:r>
        <w:rPr>
          <w:rFonts w:ascii="Times New Roman" w:hAnsi="Times New Roman" w:cs="Times New Roman"/>
        </w:rPr>
        <w:t xml:space="preserve"> ，到欧盟（或多或少）兴起的辅助性原则</w:t>
      </w:r>
      <w:r>
        <w:rPr>
          <w:rStyle w:val="FootnoteReference"/>
          <w:rFonts w:ascii="Times New Roman" w:hAnsi="Times New Roman" w:cs="Times New Roman"/>
        </w:rPr>
        <w:footnoteReference w:id="34"/>
      </w:r>
      <w:r>
        <w:rPr>
          <w:rFonts w:ascii="Times New Roman" w:hAnsi="Times New Roman" w:cs="Times New Roman"/>
        </w:rPr>
        <w:t xml:space="preserve"> ，再到中国</w:t>
      </w:r>
      <w:r>
        <w:rPr>
          <w:rFonts w:ascii="Times New Roman" w:hAnsi="Times New Roman" w:cs="Times New Roman"/>
        </w:rPr>
        <w:t>马克思</w:t>
      </w:r>
      <w:r>
        <w:rPr>
          <w:rFonts w:ascii="Times New Roman" w:hAnsi="Times New Roman" w:cs="Times New Roman"/>
        </w:rPr>
        <w:lastRenderedPageBreak/>
      </w:r>
      <w:r>
        <w:rPr>
          <w:rFonts w:ascii="Times New Roman" w:hAnsi="Times New Roman" w:cs="Times New Roman"/>
        </w:rPr>
        <w:t>列宁主义</w:t>
      </w:r>
      <w:r>
        <w:rPr>
          <w:rStyle w:val="FootnoteReference"/>
          <w:rFonts w:ascii="Times New Roman" w:hAnsi="Times New Roman" w:cs="Times New Roman"/>
        </w:rPr>
        <w:footnoteReference w:id="35"/>
      </w:r>
      <w:r>
        <w:rPr>
          <w:rFonts w:ascii="Times New Roman" w:hAnsi="Times New Roman" w:cs="Times New Roman"/>
        </w:rPr>
        <w:t xml:space="preserve"> </w:t>
      </w:r>
      <w:r>
        <w:rPr>
          <w:rFonts w:ascii="Times New Roman" w:hAnsi="Times New Roman" w:cs="Times New Roman"/>
        </w:rPr>
        <w:t xml:space="preserve">框架内的选择性集中与去中心化</w:t>
      </w:r>
      <w:r>
        <w:rPr>
          <w:rFonts w:ascii="Times New Roman" w:hAnsi="Times New Roman" w:cs="Times New Roman"/>
        </w:rPr>
        <w:t xml:space="preserve">。而且，其效率是无与伦比的。 它似乎解决了立法这一重大挑战——在该挑战中，法律作为命令（*.exe）的本质，是被外源性地投射到那些必须遵守者身上的。</w:t>
      </w:r>
      <w:r>
        <w:rPr>
          <w:rStyle w:val="FootnoteReference"/>
          <w:rFonts w:ascii="Times New Roman" w:hAnsi="Times New Roman" w:cs="Times New Roman"/>
        </w:rPr>
        <w:footnoteReference w:id="36"/>
      </w:r>
      <w:r>
        <w:rPr>
          <w:rFonts w:ascii="Times New Roman" w:hAnsi="Times New Roman" w:cs="Times New Roman"/>
        </w:rPr>
        <w:t xml:space="preserve"> 这催生了伟大的程序法学：设法将法律文本的原则内化于主体之中，并发展出外部监管机制。 区块链将监管与合规的过程自动化，将其内化过程嵌入自身编码的语言之中。</w:t>
      </w:r>
      <w:r>
        <w:rPr>
          <w:rFonts w:ascii="Times New Roman" w:hAnsi="Times New Roman" w:cs="Times New Roman"/>
        </w:rPr>
        <w:t xml:space="preserve">因此，编程</w:t>
      </w:r>
      <w:r>
        <w:rPr>
          <w:rFonts w:ascii="Times New Roman" w:hAnsi="Times New Roman" w:cs="Times New Roman"/>
          <w:i/>
          <w:iCs/>
        </w:rPr>
        <w:t xml:space="preserve">语言</w:t>
      </w:r>
      <w:r>
        <w:rPr>
          <w:rFonts w:ascii="Times New Roman" w:hAnsi="Times New Roman" w:cs="Times New Roman"/>
        </w:rPr>
        <w:t xml:space="preserve">兼具规范性、监管性、描述性和程序性，在创造合规主体的同时，也构建了其方法论。</w:t>
      </w:r>
    </w:p>
    <w:p w:rsidRPr="002162E0" w:rsidR="007D2A08" w:rsidP="006E6407" w:rsidRDefault="007D2A08" w14:paraId="4FB32387" w14:textId="1483E3AC">
      <w:pPr>
        <w:ind w:firstLine="720"/>
        <w:rPr>
          <w:rFonts w:ascii="Times New Roman" w:hAnsi="Times New Roman" w:cs="Times New Roman"/>
        </w:rPr>
      </w:pPr>
      <w:r>
        <w:rPr>
          <w:rFonts w:ascii="Times New Roman" w:hAnsi="Times New Roman" w:cs="Times New Roman"/>
        </w:rPr>
        <w:t xml:space="preserve">换言之，同一项技术会根据治理主体及其目的的不同，成为截然不同的治理对象。这种现象在以下情境中反复出现：当同一项基础设施同时被解读为内部宪政改革的工具、外部地缘政治竞争的资源，以及一种需要加以遏制的威胁——而这种遏制行为恰恰为声称管理该基础设施的任何行为体的权威提供了正当性；近期关于人工智能治理的论述明确体现了这一思路，根据叙述者和受众的不同，将一项技术视为四个截然不同的治理对象。</w:t>
      </w:r>
      <w:r>
        <w:rPr>
          <w:rStyle w:val="FootnoteReference"/>
          <w:rFonts w:ascii="Times New Roman" w:hAnsi="Times New Roman" w:cs="Times New Roman"/>
        </w:rPr>
        <w:footnoteReference w:id="37"/>
      </w:r>
    </w:p>
    <w:p w:rsidRPr="002162E0" w:rsidR="00B021E9" w:rsidP="00FF1F0B" w:rsidRDefault="00B021E9" w14:paraId="184860C9" w14:textId="77777777">
      <w:pPr>
        <w:rPr>
          <w:rFonts w:ascii="Times New Roman" w:hAnsi="Times New Roman" w:cs="Times New Roman"/>
        </w:rPr>
      </w:pPr>
    </w:p>
    <w:p w:rsidRPr="002162E0" w:rsidR="007D2A08" w:rsidP="00FF1F0B" w:rsidRDefault="00FA6C7D" w14:paraId="3877393F" w14:textId="1556A23A">
      <w:pPr>
        <w:rPr>
          <w:rFonts w:ascii="Times New Roman" w:hAnsi="Times New Roman" w:cs="Times New Roman"/>
        </w:rPr>
      </w:pPr>
      <w:r>
        <w:t>二、</w:t>
      </w:r>
      <w:r>
        <w:rPr>
          <w:rFonts w:ascii="Times New Roman" w:hAnsi="Times New Roman" w:cs="Times New Roman"/>
        </w:rPr>
        <w:t>挑战</w:t>
      </w:r>
    </w:p>
    <w:p w:rsidRPr="002162E0" w:rsidR="007D2A08" w:rsidP="00FF1F0B" w:rsidRDefault="007D2A08" w14:paraId="2227FD2B" w14:textId="77777777">
      <w:pPr>
        <w:rPr>
          <w:rFonts w:ascii="Times New Roman" w:hAnsi="Times New Roman" w:cs="Times New Roman"/>
        </w:rPr>
      </w:pPr>
    </w:p>
    <w:p w:rsidRPr="002162E0" w:rsidR="007D2A08" w:rsidP="006E6407" w:rsidRDefault="007D2A08" w14:paraId="13174C05" w14:textId="77777777">
      <w:pPr>
        <w:ind w:firstLine="720"/>
        <w:rPr>
          <w:rFonts w:ascii="Times New Roman" w:hAnsi="Times New Roman" w:cs="Times New Roman"/>
        </w:rPr>
      </w:pPr>
      <w:r>
        <w:rPr>
          <w:rFonts w:ascii="Times New Roman" w:hAnsi="Times New Roman" w:cs="Times New Roman"/>
        </w:rPr>
        <w:t xml:space="preserve">几乎任何人类（和机器）的集体活动都可以被</w:t>
      </w:r>
      <w:r>
        <w:rPr>
          <w:rFonts w:ascii="Times New Roman" w:hAnsi="Times New Roman" w:cs="Times New Roman"/>
        </w:rPr>
        <w:t xml:space="preserve">“</w:t>
      </w:r>
      <w:r>
        <w:rPr>
          <w:rFonts w:ascii="Times New Roman" w:hAnsi="Times New Roman" w:cs="Times New Roman"/>
        </w:rPr>
        <w:t xml:space="preserve">区块链化</w:t>
      </w:r>
      <w:r>
        <w:rPr>
          <w:rFonts w:ascii="Times New Roman" w:hAnsi="Times New Roman" w:cs="Times New Roman"/>
        </w:rPr>
        <w:t xml:space="preserve">”，从而</w:t>
      </w:r>
      <w:r>
        <w:rPr>
          <w:rFonts w:ascii="Times New Roman" w:hAnsi="Times New Roman" w:cs="Times New Roman"/>
        </w:rPr>
        <w:t xml:space="preserve">在虚拟空间中实现自动化，其影响不仅局限于虚拟空间，更波及人类的物理空间</w:t>
      </w:r>
      <w:r>
        <w:rPr>
          <w:rFonts w:ascii="Times New Roman" w:hAnsi="Times New Roman" w:cs="Times New Roman"/>
        </w:rPr>
        <w:t xml:space="preserve">。</w:t>
      </w:r>
      <w:r>
        <w:rPr>
          <w:rStyle w:val="FootnoteReference"/>
          <w:rFonts w:ascii="Times New Roman" w:hAnsi="Times New Roman" w:cs="Times New Roman"/>
        </w:rPr>
        <w:footnoteReference w:id="38"/>
      </w:r>
      <w:r>
        <w:rPr>
          <w:rFonts w:ascii="Times New Roman" w:hAnsi="Times New Roman" w:cs="Times New Roman"/>
        </w:rPr>
        <w:t xml:space="preserve"> 虽然它在适合进行时间分块的信息和决策系统的人类活动中发挥着重要作用——即按时间分块并排序的账本记录，随后沿线性时间弧线进行顺序操作。 这包括人们熟知的应用领域——加密货币、供应链管理、智能合约</w:t>
      </w:r>
      <w:r>
        <w:rPr>
          <w:rStyle w:val="FootnoteReference"/>
          <w:rFonts w:ascii="Times New Roman" w:hAnsi="Times New Roman" w:cs="Times New Roman"/>
        </w:rPr>
        <w:footnoteReference w:id="39"/>
      </w:r>
      <w:r>
        <w:rPr>
          <w:rFonts w:ascii="Times New Roman" w:hAnsi="Times New Roman" w:cs="Times New Roman"/>
        </w:rPr>
        <w:t xml:space="preserve"> 、银行业和数字身份——但其潜力远不止于此，还延伸至以智慧城市形式运作的市政管理，通过智能家居（有时与物联网相结合）管理家庭， 通过基于区块链的价值加权行为记录系统构建的社会信用奖励与惩罚机制来管理行为，乃至以智能法庭为代表的智能政府，以及对行政机构的更智能监管——该机构如今已成为将虚拟现实具象化的实体体现</w:t>
      </w:r>
      <w:r>
        <w:rPr>
          <w:rFonts w:ascii="Times New Roman" w:hAnsi="Times New Roman" w:cs="Times New Roman"/>
        </w:rPr>
        <w:t xml:space="preserve">。</w:t>
      </w:r>
      <w:r>
        <w:rPr>
          <w:rStyle w:val="FootnoteReference"/>
          <w:rFonts w:ascii="Times New Roman" w:hAnsi="Times New Roman" w:cs="Times New Roman"/>
        </w:rPr>
        <w:footnoteReference w:id="40"/>
      </w:r>
      <w:r>
        <w:rPr>
          <w:rFonts w:ascii="Times New Roman" w:hAnsi="Times New Roman" w:cs="Times New Roman"/>
        </w:rPr>
        <w:t xml:space="preserve"> 它可应用于任何数据丰富的环境，其中可构成各类交易——医疗保健、心理服务、聊天机器人、</w:t>
      </w:r>
      <w:r>
        <w:rPr>
          <w:rFonts w:ascii="Times New Roman" w:hAnsi="Times New Roman" w:cs="Times New Roman"/>
        </w:rPr>
        <w:lastRenderedPageBreak/>
      </w:r>
      <w:r>
        <w:rPr>
          <w:rFonts w:ascii="Times New Roman" w:hAnsi="Times New Roman" w:cs="Times New Roman"/>
        </w:rPr>
        <w:t xml:space="preserve"> 其他准货币及资产识别系统（例如，非同质化代币</w:t>
      </w:r>
      <w:r>
        <w:rPr>
          <w:rStyle w:val="FootnoteReference"/>
          <w:rFonts w:ascii="Times New Roman" w:hAnsi="Times New Roman" w:cs="Times New Roman"/>
        </w:rPr>
        <w:footnoteReference w:id="41"/>
      </w:r>
      <w:r>
        <w:rPr>
          <w:rFonts w:ascii="Times New Roman" w:hAnsi="Times New Roman" w:cs="Times New Roman"/>
        </w:rPr>
        <w:t xml:space="preserve"> ），以及各类媒体。它既是历史的本质，也是交易的基于对象的构建模块。</w:t>
      </w:r>
    </w:p>
    <w:p w:rsidRPr="002162E0" w:rsidR="007D2A08" w:rsidP="007D2A08" w:rsidRDefault="007D2A08" w14:paraId="4EF9422C" w14:textId="77777777">
      <w:pPr>
        <w:rPr>
          <w:rFonts w:ascii="Times New Roman" w:hAnsi="Times New Roman" w:cs="Times New Roman"/>
        </w:rPr>
      </w:pPr>
    </w:p>
    <w:p w:rsidRPr="002162E0" w:rsidR="00C72FD8" w:rsidP="006E6407" w:rsidRDefault="007D2A08" w14:paraId="13BC95C5" w14:textId="204C6ED3">
      <w:pPr>
        <w:ind w:firstLine="720"/>
        <w:rPr>
          <w:rFonts w:ascii="Times New Roman" w:hAnsi="Times New Roman" w:cs="Times New Roman"/>
        </w:rPr>
      </w:pPr>
      <w:r>
        <w:rPr>
          <w:rFonts w:ascii="Times New Roman" w:hAnsi="Times New Roman" w:cs="Times New Roman"/>
        </w:rPr>
        <w:t>这进而提供了一个框架，在此框架内，自动化决策及其后果源于交易——这些交易受编码流的支配，该编码流赋予账本条目交易以意义，随后通过基于对对象价值及其在交易中流动的共识而形成的集体解释规则的</w:t>
      </w:r>
      <w:r>
        <w:rPr>
          <w:rFonts w:ascii="Times New Roman" w:hAnsi="Times New Roman" w:cs="Times New Roman"/>
        </w:rPr>
        <w:t>操作化落实</w:t>
      </w:r>
      <w:r>
        <w:rPr>
          <w:rFonts w:ascii="Times New Roman" w:hAnsi="Times New Roman" w:cs="Times New Roman"/>
        </w:rPr>
        <w:t>，产生判断与后果（即基于判断价值并受其指导的行动）</w:t>
      </w:r>
      <w:r>
        <w:rPr>
          <w:rStyle w:val="FootnoteReference"/>
          <w:rFonts w:ascii="Times New Roman" w:hAnsi="Times New Roman" w:cs="Times New Roman"/>
        </w:rPr>
        <w:footnoteReference w:id="42"/>
      </w:r>
      <w:r>
        <w:rPr>
          <w:rFonts w:ascii="Times New Roman" w:hAnsi="Times New Roman" w:cs="Times New Roman"/>
        </w:rPr>
        <w:t xml:space="preserve"> ——换言之， 从这一角度来看</w:t>
      </w:r>
      <w:r>
        <w:rPr>
          <w:rFonts w:ascii="Times New Roman" w:hAnsi="Times New Roman" w:cs="Times New Roman"/>
          <w:i/>
          <w:iCs/>
        </w:rPr>
        <w:t xml:space="preserve">，</w:t>
      </w:r>
      <w:r>
        <w:rPr>
          <w:rFonts w:ascii="Times New Roman" w:hAnsi="Times New Roman" w:cs="Times New Roman"/>
          <w:i/>
          <w:iCs/>
        </w:rPr>
        <w:t xml:space="preserve">它既</w:t>
      </w:r>
      <w:r>
        <w:rPr>
          <w:rFonts w:ascii="Times New Roman" w:hAnsi="Times New Roman" w:cs="Times New Roman"/>
        </w:rPr>
        <w:t xml:space="preserve">体现了</w:t>
      </w:r>
      <w:r>
        <w:rPr>
          <w:rFonts w:ascii="Times New Roman" w:hAnsi="Times New Roman" w:cs="Times New Roman"/>
        </w:rPr>
        <w:t xml:space="preserve">符号学三元组（对象→意义→解释/后果→再次回到对象）的</w:t>
      </w:r>
      <w:r>
        <w:rPr>
          <w:rFonts w:ascii="Times New Roman" w:hAnsi="Times New Roman" w:cs="Times New Roman"/>
        </w:rPr>
        <w:t xml:space="preserve">理想化宇宙</w:t>
      </w:r>
      <w:r>
        <w:rPr>
          <w:rStyle w:val="FootnoteReference"/>
          <w:rFonts w:ascii="Times New Roman" w:hAnsi="Times New Roman" w:cs="Times New Roman"/>
        </w:rPr>
        <w:footnoteReference w:id="43"/>
      </w:r>
      <w:r>
        <w:rPr>
          <w:rFonts w:ascii="Times New Roman" w:hAnsi="Times New Roman" w:cs="Times New Roman"/>
        </w:rPr>
        <w:t xml:space="preserve"> </w:t>
      </w:r>
      <w:r>
        <w:rPr>
          <w:rStyle w:val="FootnoteReference"/>
          <w:rFonts w:ascii="Times New Roman" w:hAnsi="Times New Roman" w:cs="Times New Roman"/>
        </w:rPr>
        <w:footnoteReference w:id="44"/>
      </w:r>
      <w:r>
        <w:rPr>
          <w:rFonts w:ascii="Times New Roman" w:hAnsi="Times New Roman" w:cs="Times New Roman"/>
        </w:rPr>
        <w:t xml:space="preserve"> </w:t>
      </w:r>
      <w:r>
        <w:rPr>
          <w:rFonts w:ascii="Times New Roman" w:hAnsi="Times New Roman" w:cs="Times New Roman"/>
          <w:i/>
          <w:iCs/>
        </w:rPr>
        <w:t xml:space="preserve">，也</w:t>
      </w:r>
      <w:r>
        <w:rPr>
          <w:rFonts w:ascii="Times New Roman" w:hAnsi="Times New Roman" w:cs="Times New Roman"/>
        </w:rPr>
        <w:t xml:space="preserve">体现了基于对象识别的规则系统自动化——这些对象将以可预测且预先确定的方式被“处理”。</w:t>
      </w:r>
      <w:r>
        <w:rPr>
          <w:rStyle w:val="FootnoteReference"/>
          <w:rFonts w:ascii="Times New Roman" w:hAnsi="Times New Roman" w:cs="Times New Roman"/>
        </w:rPr>
        <w:footnoteReference w:id="45"/>
      </w:r>
      <w:r>
        <w:rPr>
          <w:rFonts w:ascii="Times New Roman" w:hAnsi="Times New Roman" w:cs="Times New Roman"/>
        </w:rPr>
        <w:t xml:space="preserve"> 这种循环模式——它基于自身构建，并可能根据交易数据聚合及模式变化所产生的（代码层面的）后果而发生转变——构成了（区块链中）编码的基本意义。</w:t>
      </w:r>
    </w:p>
    <w:p w:rsidRPr="002162E0" w:rsidR="00B14C8D" w:rsidP="00FF1F0B" w:rsidRDefault="00B14C8D" w14:paraId="7990C491" w14:textId="77777777">
      <w:pPr>
        <w:rPr>
          <w:rFonts w:ascii="Times New Roman" w:hAnsi="Times New Roman" w:cs="Times New Roman"/>
        </w:rPr>
      </w:pPr>
    </w:p>
    <w:p w:rsidRPr="002162E0" w:rsidR="00D33081" w:rsidP="00D33081" w:rsidRDefault="00216BFF" w14:paraId="7C1B4C2E" w14:textId="20A7DE16">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正是在这一框架内，我们可以探讨以下三个问题：第一个问题涉及当代“代码</w:t>
      </w:r>
      <w:r>
        <w:t>之</w:t>
      </w:r>
      <w:r>
        <w:rPr>
          <w:rFonts w:ascii="Times New Roman" w:hAnsi="Times New Roman" w:cs="Times New Roman"/>
        </w:rPr>
        <w:t>治”面临的主要威胁。</w:t>
      </w:r>
      <w:r>
        <w:rPr>
          <w:rStyle w:val="FootnoteReference"/>
          <w:rFonts w:ascii="Times New Roman" w:hAnsi="Times New Roman" w:cs="Times New Roman"/>
        </w:rPr>
        <w:footnoteReference w:id="46"/>
      </w:r>
      <w:r>
        <w:rPr>
          <w:rFonts w:ascii="Times New Roman" w:hAnsi="Times New Roman" w:cs="Times New Roman"/>
        </w:rPr>
        <w:t xml:space="preserve"> 第二个问题探讨“代码</w:t>
      </w:r>
      <w:r>
        <w:t>之</w:t>
      </w:r>
      <w:r>
        <w:rPr>
          <w:rFonts w:ascii="Times New Roman" w:hAnsi="Times New Roman" w:cs="Times New Roman"/>
        </w:rPr>
        <w:t>治”——或者至少是其所代表的监管与决策编程系统——对区块链系统合法性的重要性</w:t>
      </w:r>
      <w:r>
        <w:rPr>
          <w:rFonts w:ascii="Times New Roman" w:hAnsi="Times New Roman" w:cs="Times New Roman"/>
        </w:rPr>
        <w:t xml:space="preserve">。</w:t>
      </w:r>
      <w:r>
        <w:rPr>
          <w:rStyle w:val="FootnoteReference"/>
          <w:rFonts w:ascii="Times New Roman" w:hAnsi="Times New Roman" w:cs="Times New Roman"/>
        </w:rPr>
        <w:footnoteReference w:id="47"/>
      </w:r>
      <w:r>
        <w:rPr>
          <w:rFonts w:ascii="Times New Roman" w:hAnsi="Times New Roman" w:cs="Times New Roman"/>
        </w:rPr>
        <w:t xml:space="preserve"> 第三个问题则将探讨在区块链领域近期立法和行政行动的当代背景下，编程系统治理所实施的监管与传统监管之间的辩证关系</w:t>
      </w:r>
      <w:r>
        <w:rPr>
          <w:rFonts w:ascii="Times New Roman" w:hAnsi="Times New Roman" w:cs="Times New Roman"/>
        </w:rPr>
        <w:t xml:space="preserve">。</w:t>
      </w:r>
      <w:r>
        <w:rPr>
          <w:rStyle w:val="FootnoteReference"/>
          <w:rFonts w:ascii="Times New Roman" w:hAnsi="Times New Roman" w:cs="Times New Roman"/>
        </w:rPr>
        <w:footnoteReference w:id="48"/>
      </w:r>
      <w:r>
        <w:rPr>
          <w:rFonts w:ascii="Times New Roman" w:hAnsi="Times New Roman" w:cs="Times New Roman"/>
        </w:rPr>
        <w:t xml:space="preserve"> 每一种都有其独特的符号学。第一种</w:t>
      </w:r>
      <w:r>
        <w:rPr>
          <w:rFonts w:ascii="Times New Roman" w:hAnsi="Times New Roman" w:cs="Times New Roman"/>
        </w:rPr>
        <w:lastRenderedPageBreak/>
      </w:r>
      <w:r>
        <w:rPr>
          <w:rFonts w:ascii="Times New Roman" w:hAnsi="Times New Roman" w:cs="Times New Roman"/>
        </w:rPr>
        <w:t xml:space="preserve"> 植根于强制性或胁迫性集体意义建构的更广泛符号学之中，作为世界中自然之物的</w:t>
      </w:r>
      <w:r>
        <w:t>所</w:t>
      </w:r>
      <w:r>
        <w:rPr>
          <w:rFonts w:ascii="Times New Roman" w:hAnsi="Times New Roman" w:cs="Times New Roman"/>
        </w:rPr>
        <w:t>指</w:t>
      </w:r>
      <w:r>
        <w:t>涉的价</w:t>
      </w:r>
      <w:r>
        <w:rPr>
          <w:rFonts w:ascii="Times New Roman" w:hAnsi="Times New Roman" w:cs="Times New Roman"/>
        </w:rPr>
        <w:t>值与期望的</w:t>
      </w:r>
      <w:r>
        <w:t>函数</w:t>
      </w:r>
      <w:r>
        <w:rPr>
          <w:rFonts w:ascii="Times New Roman" w:hAnsi="Times New Roman" w:cs="Times New Roman"/>
        </w:rPr>
        <w:t>，这些被指值与期望将通过编码复制或内化为区块链中的机器语言，进而作为物理世界的虚拟表现——该虚拟表现与物理世界在区块生成迭代过程的起始与终结处相互作用。 第二点涉及区块链语言的规范性本质，以及源代码在编码时不仅必须体现价值观，还必须体现使这些价值观在相互作用的区块所构成的自指世界（即其协议）中具有合理性的认知框架。第三点则关乎物理世界所面临的恐惧——当物理世界意识到虚拟世界已获得自主的物理性，进而威胁到其对物理世界的框架构建能力时，这种恐惧便油然而生，而物理世界正是被向内投射到虚拟世界中的。 让我们依次简要探讨这三个方面。</w:t>
      </w:r>
    </w:p>
    <w:p w:rsidRPr="002162E0" w:rsidR="008355B1" w:rsidP="00D33081" w:rsidRDefault="008355B1" w14:paraId="1DE0FF8F" w14:textId="77777777">
      <w:pPr>
        <w:rPr>
          <w:rFonts w:ascii="Times New Roman" w:hAnsi="Times New Roman" w:cs="Times New Roman"/>
        </w:rPr>
      </w:pPr>
    </w:p>
    <w:p w:rsidRPr="002162E0" w:rsidR="008355B1" w:rsidP="00D33081" w:rsidRDefault="00027824" w14:paraId="5C42C506" w14:textId="4821F31A">
      <w:pPr>
        <w:rPr>
          <w:rFonts w:ascii="Times New Roman" w:hAnsi="Times New Roman" w:cs="Times New Roman"/>
        </w:rPr>
      </w:pPr>
      <w:r>
        <w:t>三、</w:t>
      </w:r>
      <w:r>
        <w:rPr>
          <w:rFonts w:ascii="Times New Roman" w:hAnsi="Times New Roman" w:cs="Times New Roman"/>
        </w:rPr>
        <w:t>“代码</w:t>
      </w:r>
      <w:r>
        <w:t>之</w:t>
      </w:r>
      <w:r>
        <w:rPr>
          <w:rFonts w:ascii="Times New Roman" w:hAnsi="Times New Roman" w:cs="Times New Roman"/>
        </w:rPr>
        <w:t>治”面临的当代威胁。</w:t>
      </w:r>
    </w:p>
    <w:p w:rsidRPr="002162E0" w:rsidR="000B6D2A" w:rsidP="00D33081" w:rsidRDefault="000B6D2A" w14:paraId="1AB6EAA5" w14:textId="77777777">
      <w:pPr>
        <w:rPr>
          <w:rFonts w:ascii="Times New Roman" w:hAnsi="Times New Roman" w:cs="Times New Roman"/>
        </w:rPr>
      </w:pPr>
    </w:p>
    <w:p w:rsidRPr="002162E0" w:rsidR="004F0C91" w:rsidP="006E6407" w:rsidRDefault="008A1693" w14:paraId="792B7708" w14:textId="23E584A1">
      <w:pPr>
        <w:ind w:firstLine="720"/>
        <w:rPr>
          <w:rFonts w:ascii="Times New Roman" w:hAnsi="Times New Roman" w:cs="Times New Roman"/>
        </w:rPr>
      </w:pPr>
      <w:r>
        <w:rPr>
          <w:rFonts w:ascii="Times New Roman" w:hAnsi="Times New Roman" w:cs="Times New Roman"/>
        </w:rPr>
        <w:t xml:space="preserve">要</w:t>
      </w:r>
      <w:r>
        <w:rPr>
          <w:rFonts w:ascii="Times New Roman" w:hAnsi="Times New Roman" w:cs="Times New Roman"/>
        </w:rPr>
        <w:t>探讨“代码</w:t>
      </w:r>
      <w:r>
        <w:t>之</w:t>
      </w:r>
      <w:r>
        <w:rPr>
          <w:rFonts w:ascii="Times New Roman" w:hAnsi="Times New Roman" w:cs="Times New Roman"/>
        </w:rPr>
        <w:t>治”所面临的威胁——或者至少是探讨那个已被客观化（第一性）为代码“规则”（或由代码所制定的规则）</w:t>
      </w:r>
      <w:r>
        <w:rPr>
          <w:rFonts w:ascii="Times New Roman" w:hAnsi="Times New Roman" w:cs="Times New Roman"/>
        </w:rPr>
        <w:t xml:space="preserve">的系统</w:t>
      </w:r>
      <w:r>
        <w:rPr>
          <w:rStyle w:val="FootnoteReference"/>
          <w:rFonts w:ascii="Times New Roman" w:hAnsi="Times New Roman" w:cs="Times New Roman"/>
        </w:rPr>
        <w:footnoteReference w:id="49"/>
      </w:r>
      <w:r>
        <w:rPr>
          <w:rFonts w:ascii="Times New Roman" w:hAnsi="Times New Roman" w:cs="Times New Roman"/>
        </w:rPr>
        <w:t xml:space="preserve"> ——将这一问题置于具有强制效应的现实塑造行动的更广泛语境中进行考察，或许会有所裨益</w:t>
      </w:r>
      <w:r>
        <w:rPr>
          <w:rFonts w:ascii="Times New Roman" w:hAnsi="Times New Roman" w:cs="Times New Roman"/>
        </w:rPr>
        <w:t xml:space="preserve">。</w:t>
      </w:r>
      <w:r>
        <w:rPr>
          <w:rStyle w:val="FootnoteReference"/>
          <w:rFonts w:ascii="Times New Roman" w:hAnsi="Times New Roman" w:cs="Times New Roman"/>
        </w:rPr>
        <w:footnoteReference w:id="50"/>
      </w:r>
      <w:r>
        <w:rPr>
          <w:rFonts w:ascii="Times New Roman" w:hAnsi="Times New Roman" w:cs="Times New Roman"/>
        </w:rPr>
        <w:t xml:space="preserve"> 实际上，正如普里马维拉·德·菲利皮（Primavera De Filippi）和亚伦·赖特（Aaron Wright）所指出的，这是一个相互冲突的“围封”问题。</w:t>
      </w:r>
    </w:p>
    <w:p w:rsidRPr="002162E0" w:rsidR="004F0C91" w:rsidP="00D33081" w:rsidRDefault="004F0C91" w14:paraId="0CE9A3CE" w14:textId="77777777">
      <w:pPr>
        <w:rPr>
          <w:rFonts w:ascii="Times New Roman" w:hAnsi="Times New Roman" w:cs="Times New Roman"/>
        </w:rPr>
      </w:pPr>
    </w:p>
    <w:p w:rsidRPr="002162E0" w:rsidR="00427B1A" w:rsidP="004F0C91" w:rsidRDefault="004F0C91" w14:paraId="2C7502AF" w14:textId="76E18859">
      <w:pPr>
        <w:ind w:start="720" w:end="720"/>
        <w:rPr>
          <w:rFonts w:ascii="Times New Roman" w:hAnsi="Times New Roman" w:cs="Times New Roman"/>
        </w:rPr>
      </w:pPr>
      <w:r>
        <w:rPr>
          <w:rFonts w:ascii="Times New Roman" w:hAnsi="Times New Roman" w:cs="Times New Roman"/>
        </w:rPr>
        <w:t xml:space="preserve">互联网早已</w:t>
      </w:r>
      <w:r>
        <w:rPr>
          <w:rFonts w:ascii="Times New Roman" w:hAnsi="Times New Roman" w:cs="Times New Roman"/>
        </w:rPr>
        <w:t xml:space="preserve">在基于地理边界的“</w:t>
      </w:r>
      <w:r>
        <w:rPr>
          <w:rFonts w:ascii="Times New Roman" w:hAnsi="Times New Roman" w:cs="Times New Roman"/>
          <w:i/>
          <w:iCs/>
        </w:rPr>
        <w:t xml:space="preserve">法治</w:t>
      </w:r>
      <w:r>
        <w:rPr>
          <w:rFonts w:ascii="Times New Roman" w:hAnsi="Times New Roman" w:cs="Times New Roman"/>
        </w:rPr>
        <w:t xml:space="preserve">”与</w:t>
      </w:r>
      <w:r>
        <w:rPr>
          <w:rFonts w:ascii="Times New Roman" w:hAnsi="Times New Roman" w:cs="Times New Roman"/>
        </w:rPr>
        <w:t xml:space="preserve">基于拓扑构造的“</w:t>
      </w:r>
      <w:r>
        <w:rPr>
          <w:rFonts w:ascii="Times New Roman" w:hAnsi="Times New Roman" w:cs="Times New Roman"/>
          <w:i/>
          <w:iCs/>
        </w:rPr>
        <w:t>代码</w:t>
      </w:r>
      <w:r>
        <w:rPr>
          <w:rFonts w:ascii="Times New Roman" w:hAnsi="Times New Roman" w:cs="Times New Roman"/>
          <w:i/>
          <w:iCs/>
        </w:rPr>
        <w:t>之</w:t>
      </w:r>
      <w:r>
        <w:rPr>
          <w:rFonts w:ascii="Times New Roman" w:hAnsi="Times New Roman" w:cs="Times New Roman"/>
          <w:i/>
          <w:iCs/>
        </w:rPr>
        <w:t>治</w:t>
      </w:r>
      <w:r>
        <w:rPr>
          <w:rFonts w:ascii="Times New Roman" w:hAnsi="Times New Roman" w:cs="Times New Roman"/>
        </w:rPr>
        <w:t xml:space="preserve">”</w:t>
      </w:r>
      <w:r>
        <w:rPr>
          <w:rFonts w:ascii="Times New Roman" w:hAnsi="Times New Roman" w:cs="Times New Roman"/>
        </w:rPr>
        <w:t xml:space="preserve">之间引发了根本性的张力</w:t>
      </w:r>
      <w:r>
        <w:rPr>
          <w:rFonts w:ascii="Times New Roman" w:hAnsi="Times New Roman" w:cs="Times New Roman"/>
        </w:rPr>
        <w:t xml:space="preserve">。“网络空间”的监管正处于这两个规范体系的交汇点——根据具体情况，它们既可能相互合作，也可能相互竞争。</w:t>
      </w:r>
      <w:r>
        <w:rPr>
          <w:rStyle w:val="FootnoteReference"/>
          <w:rFonts w:ascii="Times New Roman" w:hAnsi="Times New Roman" w:cs="Times New Roman"/>
        </w:rPr>
        <w:footnoteReference w:id="51"/>
      </w:r>
    </w:p>
    <w:p w:rsidRPr="002162E0" w:rsidR="000B6D2A" w:rsidP="00D33081" w:rsidRDefault="000B6D2A" w14:paraId="232BAC0D" w14:textId="77777777">
      <w:pPr>
        <w:rPr>
          <w:rFonts w:ascii="Times New Roman" w:hAnsi="Times New Roman" w:cs="Times New Roman"/>
        </w:rPr>
      </w:pPr>
    </w:p>
    <w:p w:rsidRPr="002162E0" w:rsidR="0050419F" w:rsidP="00352061" w:rsidRDefault="009D342C" w14:paraId="4E9B5F45" w14:textId="434ECB6F">
      <w:pPr>
        <w:ind w:firstLine="720"/>
        <w:rPr>
          <w:rFonts w:ascii="Times New Roman" w:hAnsi="Times New Roman" w:cs="Times New Roman"/>
        </w:rPr>
      </w:pPr>
      <w:r>
        <w:rPr>
          <w:rFonts w:ascii="Times New Roman" w:hAnsi="Times New Roman" w:cs="Times New Roman"/>
        </w:rPr>
        <w:t xml:space="preserve">然而，这种不相容性远比地域层面更为深层。它不仅意味着抵抗，更意味着一种集体意义体系被另一种所取代。这种取代正从其传统的人本基础</w:t>
      </w:r>
      <w:r>
        <w:rPr>
          <w:rFonts w:ascii="Times New Roman" w:hAnsi="Times New Roman" w:cs="Times New Roman"/>
        </w:rPr>
        <w:t xml:space="preserve">，</w:t>
      </w:r>
      <w:r>
        <w:rPr>
          <w:rStyle w:val="FootnoteReference"/>
          <w:rFonts w:ascii="Times New Roman" w:hAnsi="Times New Roman" w:cs="Times New Roman"/>
        </w:rPr>
        <w:footnoteReference w:id="52"/>
      </w:r>
      <w:r>
        <w:rPr>
          <w:rFonts w:ascii="Times New Roman" w:hAnsi="Times New Roman" w:cs="Times New Roman"/>
        </w:rPr>
        <w:t xml:space="preserve"> 转向一种不再过分担忧主叙事冲突，</w:t>
      </w:r>
      <w:r>
        <w:rPr>
          <w:rStyle w:val="FootnoteReference"/>
          <w:rFonts w:ascii="Times New Roman" w:hAnsi="Times New Roman" w:cs="Times New Roman"/>
        </w:rPr>
        <w:footnoteReference w:id="53"/>
      </w:r>
      <w:r>
        <w:rPr>
          <w:rFonts w:ascii="Times New Roman" w:hAnsi="Times New Roman" w:cs="Times New Roman"/>
        </w:rPr>
        <w:t xml:space="preserve"> 而是面临这样一种叙事冲突：机器虽能与人类互动，但机器的叙事对人类而言却依然晦涩难懂</w:t>
      </w:r>
      <w:r>
        <w:rPr>
          <w:rFonts w:ascii="Times New Roman" w:hAnsi="Times New Roman" w:cs="Times New Roman"/>
        </w:rPr>
        <w:t xml:space="preserve">。</w:t>
      </w:r>
      <w:r>
        <w:rPr>
          <w:rStyle w:val="FootnoteReference"/>
          <w:rFonts w:ascii="Times New Roman" w:hAnsi="Times New Roman" w:cs="Times New Roman"/>
        </w:rPr>
        <w:footnoteReference w:id="54"/>
      </w:r>
      <w:r>
        <w:rPr>
          <w:rFonts w:ascii="Times New Roman" w:hAnsi="Times New Roman" w:cs="Times New Roman"/>
        </w:rPr>
        <w:t xml:space="preserve"> 事实上，相较于在传统监管体系之外仅发挥补充或互补作用，这种取代的野心更难实现。 由此，人们可以开始感知到那些威胁</w:t>
      </w:r>
      <w:r>
        <w:rPr>
          <w:rFonts w:ascii="Times New Roman" w:hAnsi="Times New Roman" w:cs="Times New Roman"/>
        </w:rPr>
        <w:t>“代码</w:t>
      </w:r>
      <w:r>
        <w:rPr>
          <w:rFonts w:ascii="Times New Roman" w:hAnsi="Times New Roman" w:cs="Times New Roman"/>
        </w:rPr>
        <w:lastRenderedPageBreak/>
      </w:r>
      <w:r>
        <w:t>之治”的</w:t>
      </w:r>
      <w:r>
        <w:rPr>
          <w:rFonts w:ascii="Times New Roman" w:hAnsi="Times New Roman" w:cs="Times New Roman"/>
        </w:rPr>
        <w:t xml:space="preserve">完整性的各类问题</w:t>
      </w:r>
      <w:r>
        <w:rPr>
          <w:rFonts w:ascii="Times New Roman" w:hAnsi="Times New Roman" w:cs="Times New Roman"/>
        </w:rPr>
        <w:t xml:space="preserve">，包括内部和外部的</w:t>
      </w:r>
      <w:r>
        <w:rPr>
          <w:rFonts w:ascii="Times New Roman" w:hAnsi="Times New Roman" w:cs="Times New Roman"/>
        </w:rPr>
        <w:t xml:space="preserve">威胁</w:t>
      </w:r>
      <w:r>
        <w:rPr>
          <w:rFonts w:ascii="Times New Roman" w:hAnsi="Times New Roman" w:cs="Times New Roman"/>
        </w:rPr>
        <w:t xml:space="preserve">。内部威胁或许更为耐人寻味。其中，有些问题值得提及：</w:t>
      </w:r>
    </w:p>
    <w:p w:rsidRPr="002162E0" w:rsidR="0050419F" w:rsidP="00D33081" w:rsidRDefault="0050419F" w14:paraId="3297748C" w14:textId="77777777">
      <w:pPr>
        <w:rPr>
          <w:rFonts w:ascii="Times New Roman" w:hAnsi="Times New Roman" w:cs="Times New Roman"/>
        </w:rPr>
      </w:pPr>
    </w:p>
    <w:p w:rsidRPr="002162E0" w:rsidR="006E6407" w:rsidP="00D33081" w:rsidRDefault="0008218E" w14:paraId="49B3AE5B" w14:textId="1E5F92E1">
      <w:pPr>
        <w:rPr>
          <w:rFonts w:ascii="Times New Roman" w:hAnsi="Times New Roman" w:cs="Times New Roman"/>
        </w:rPr>
      </w:pPr>
      <w:r>
        <w:rPr>
          <w:rFonts w:ascii="Times New Roman" w:hAnsi="Times New Roman" w:cs="Times New Roman"/>
          <w:i/>
          <w:iCs/>
        </w:rPr>
        <w:t xml:space="preserve">A. 不连贯性问题</w:t>
      </w:r>
      <w:r>
        <w:rPr>
          <w:rFonts w:ascii="Times New Roman" w:hAnsi="Times New Roman" w:cs="Times New Roman"/>
        </w:rPr>
        <w:t xml:space="preserve">。通过监管编码创建基于交易的区块链是一回事，将其编织成一个连贯的系统则是另一回事。难点在于如何将复杂且具有偶然性的相互渗透的交易事件中的结构耦合进行规范化。 归根结底，对“主编码者”以及“主代码”的需求变得愈发明显；但若以此方式“解决”不连贯性问题，便会动摇规范性区块链项目核心所秉持的去中心化基本原则。主编码似乎已成为监管的本质，如今它不再是拥有监管权的实体机构的专属领域，而是已渗透进代码的语言之中；从这个意义上说，语言在“发声”并进行监管。 随之而来的，是需要在虚拟系统现实中构建认知框架——该系统由以自动化方式进行的集成交易构成，通过这一框架，区块链得以被理性化，其价值体系得以稳定，其内部流动得以被理解，从而能够发展出微观和宏观层面的有效性模式，以及基于目标的价值最大化。实际上，若要将该系统作为整体进行管理，就需要对文化进行编码。 届时必将遭遇阻力——</w:t>
      </w:r>
      <w:r>
        <w:rPr>
          <w:rFonts w:ascii="Times New Roman" w:hAnsi="Times New Roman" w:cs="Times New Roman"/>
        </w:rPr>
        <w:t xml:space="preserve">例如</w:t>
      </w:r>
      <w:r>
        <w:rPr>
          <w:rFonts w:ascii="Times New Roman" w:hAnsi="Times New Roman" w:cs="Times New Roman"/>
        </w:rPr>
        <w:t xml:space="preserve">以分叉</w:t>
      </w:r>
      <w:r>
        <w:rPr>
          <w:rStyle w:val="FootnoteReference"/>
          <w:rFonts w:ascii="Times New Roman" w:hAnsi="Times New Roman" w:cs="Times New Roman"/>
        </w:rPr>
        <w:footnoteReference w:id="55"/>
      </w:r>
      <w:r>
        <w:rPr>
          <w:rFonts w:ascii="Times New Roman" w:hAnsi="Times New Roman" w:cs="Times New Roman"/>
        </w:rPr>
        <w:t xml:space="preserve">的形式表现出来</w:t>
      </w:r>
      <w:r>
        <w:rPr>
          <w:rFonts w:ascii="Times New Roman" w:hAnsi="Times New Roman" w:cs="Times New Roman"/>
        </w:rPr>
        <w:t xml:space="preserve">。</w:t>
      </w:r>
      <w:r>
        <w:rPr>
          <w:rStyle w:val="FootnoteReference"/>
          <w:rFonts w:ascii="Times New Roman" w:hAnsi="Times New Roman" w:cs="Times New Roman"/>
        </w:rPr>
        <w:footnoteReference w:id="56"/>
      </w:r>
    </w:p>
    <w:p w:rsidRPr="002162E0" w:rsidR="006E6407" w:rsidP="00D33081" w:rsidRDefault="006E6407" w14:paraId="396F76D9" w14:textId="77777777">
      <w:pPr>
        <w:rPr>
          <w:rFonts w:ascii="Times New Roman" w:hAnsi="Times New Roman" w:cs="Times New Roman"/>
        </w:rPr>
      </w:pPr>
    </w:p>
    <w:p w:rsidRPr="002162E0" w:rsidR="00A84BBC" w:rsidP="006E6407" w:rsidRDefault="006E6407" w14:paraId="0AF07A86" w14:textId="6414AC95">
      <w:pPr>
        <w:ind w:firstLine="720"/>
        <w:rPr>
          <w:rFonts w:ascii="Times New Roman" w:hAnsi="Times New Roman" w:cs="Times New Roman"/>
        </w:rPr>
      </w:pPr>
      <w:r>
        <w:rPr>
          <w:rFonts w:ascii="Times New Roman" w:hAnsi="Times New Roman" w:cs="Times New Roman"/>
        </w:rPr>
        <w:t>然而，对“主代码”的追求与区块链最初的基本秩序前提背道而驰——即自主、民主和分散的权力，这种权力理想情况下以实体形式再现了其自身之外任何来源均不存在协调或控制的状态。从这一视角来看，“代码之代码”只能在特定的区块链集体内部运作，且其效力仅限于集体成员达成共识的范围内。 在此，人们可能会将区块链“代码</w:t>
      </w:r>
      <w:r>
        <w:rPr>
          <w:rFonts w:ascii="Times New Roman" w:hAnsi="Times New Roman" w:cs="Times New Roman"/>
        </w:rPr>
        <w:t>之</w:t>
      </w:r>
      <w:r>
        <w:rPr>
          <w:rFonts w:ascii="Times New Roman" w:hAnsi="Times New Roman" w:cs="Times New Roman"/>
        </w:rPr>
        <w:t>治”系统视为有序无政府系统的近乎完美的范例——一种无中心的秩序。这种秩序源于志同道合的集体之间治理的模仿冲动——每个集体都为一系列期望做出贡献，这些期望并非束缚于“代码规则”之中，而是植根于实践的历史。 忠于其自主性和控制分散的本质，区块链治理系统可能在某个空间中自主运转，而该空间正因其空性而为周围提供了秩序结构；从这个意义上说，它既是空的，又是价值观与期望的秩序核心。 在此，人们或许能从交易中聚合而成的行动中辨识出某种表现形式，并从中提炼出集体价值；本质上，</w:t>
      </w:r>
      <w:r>
        <w:rPr>
          <w:rFonts w:ascii="Times New Roman" w:hAnsi="Times New Roman" w:cs="Times New Roman"/>
        </w:rPr>
        <w:t xml:space="preserve">这是一种</w:t>
      </w:r>
      <w:r>
        <w:rPr>
          <w:rFonts w:ascii="Times New Roman" w:hAnsi="Times New Roman" w:cs="Times New Roman"/>
          <w:i/>
          <w:iCs/>
        </w:rPr>
        <w:t xml:space="preserve">现象学规范性</w:t>
      </w:r>
      <w:r>
        <w:rPr>
          <w:rFonts w:ascii="Times New Roman" w:hAnsi="Times New Roman" w:cs="Times New Roman"/>
        </w:rPr>
        <w:t xml:space="preserve">，其运作本身便抵制任何“主代码”——即抵制对系统旋转所围绕的空间进行任何填充。</w:t>
      </w:r>
      <w:r>
        <w:rPr>
          <w:rStyle w:val="FootnoteReference"/>
          <w:rFonts w:ascii="Times New Roman" w:hAnsi="Times New Roman" w:cs="Times New Roman"/>
        </w:rPr>
        <w:footnoteReference w:id="57"/>
      </w:r>
    </w:p>
    <w:p w:rsidRPr="002162E0" w:rsidR="00A84BBC" w:rsidP="00D33081" w:rsidRDefault="00A84BBC" w14:paraId="7B08DCA4" w14:textId="77777777">
      <w:pPr>
        <w:rPr>
          <w:rFonts w:ascii="Times New Roman" w:hAnsi="Times New Roman" w:cs="Times New Roman"/>
        </w:rPr>
      </w:pPr>
    </w:p>
    <w:p w:rsidRPr="002162E0" w:rsidR="00B81630" w:rsidP="00D33081" w:rsidRDefault="00062B76" w14:paraId="3CCC0186" w14:textId="082DC6F8">
      <w:pPr>
        <w:rPr>
          <w:rFonts w:ascii="Times New Roman" w:hAnsi="Times New Roman" w:cs="Times New Roman"/>
        </w:rPr>
      </w:pPr>
      <w:r>
        <w:rPr>
          <w:rFonts w:ascii="Times New Roman" w:hAnsi="Times New Roman" w:cs="Times New Roman"/>
          <w:i/>
          <w:iCs/>
        </w:rPr>
        <w:t xml:space="preserve">B. 偏见问题</w:t>
      </w:r>
      <w:r>
        <w:rPr>
          <w:rFonts w:ascii="Times New Roman" w:hAnsi="Times New Roman" w:cs="Times New Roman"/>
        </w:rPr>
        <w:t xml:space="preserve">。偏见是一个时髦的概念。但它至少基于两个错误的假设——第一，认为可以从虚拟和编码系统中消除偏见；第二，认为这种消除偏见的行为在某种程度上模仿了模拟体验中的“最佳”状态。 然而，社会组织的基本基础正是偏见，以及在各类范畴中对偏见的分配——从备受推崇和享有特权的偏见（例如平等），到应当被压制的偏见（例如种族主义）。即便接受了偏见这一事实，仍存在另一种偏见，它既在区块链的时间性中，也在人类监管中得以延续——</w:t>
      </w:r>
      <w:r>
        <w:rPr>
          <w:rFonts w:ascii="Times New Roman" w:hAnsi="Times New Roman" w:cs="Times New Roman"/>
        </w:rPr>
        <w:t xml:space="preserve">即随着时间推移</w:t>
      </w:r>
      <w:r>
        <w:rPr>
          <w:rFonts w:ascii="Times New Roman" w:hAnsi="Times New Roman" w:cs="Times New Roman"/>
        </w:rPr>
        <w:t xml:space="preserve">，将截然不同的价值体系</w:t>
      </w:r>
      <w:r>
        <w:rPr>
          <w:rFonts w:ascii="Times New Roman" w:hAnsi="Times New Roman" w:cs="Times New Roman"/>
        </w:rPr>
        <w:lastRenderedPageBreak/>
      </w:r>
      <w:r>
        <w:rPr>
          <w:rFonts w:ascii="Times New Roman" w:hAnsi="Times New Roman" w:cs="Times New Roman"/>
        </w:rPr>
        <w:t xml:space="preserve"> </w:t>
      </w:r>
      <w:r>
        <w:rPr>
          <w:rFonts w:ascii="Times New Roman" w:hAnsi="Times New Roman" w:cs="Times New Roman"/>
        </w:rPr>
        <w:t xml:space="preserve">赋予某个概念和词语的倾向</w:t>
      </w:r>
      <w:r>
        <w:rPr>
          <w:rFonts w:ascii="Times New Roman" w:hAnsi="Times New Roman" w:cs="Times New Roman"/>
        </w:rPr>
        <w:t xml:space="preserve">。 例如</w:t>
      </w:r>
      <w:r>
        <w:rPr>
          <w:rFonts w:ascii="Times New Roman" w:hAnsi="Times New Roman" w:cs="Times New Roman"/>
          <w:vertAlign w:val="superscript"/>
        </w:rPr>
        <w:t xml:space="preserve">——</w:t>
      </w:r>
      <w:r>
        <w:rPr>
          <w:rFonts w:ascii="Times New Roman" w:hAnsi="Times New Roman" w:cs="Times New Roman"/>
        </w:rPr>
        <w:t xml:space="preserve">18</w:t>
      </w:r>
      <w:r>
        <w:rPr>
          <w:rFonts w:ascii="Times New Roman" w:hAnsi="Times New Roman" w:cs="Times New Roman"/>
        </w:rPr>
        <w:t xml:space="preserve">世纪</w:t>
      </w:r>
      <w:r>
        <w:rPr>
          <w:rFonts w:ascii="Times New Roman" w:hAnsi="Times New Roman" w:cs="Times New Roman"/>
          <w:vertAlign w:val="superscript"/>
        </w:rPr>
        <w:t xml:space="preserve">和</w:t>
      </w:r>
      <w:r>
        <w:rPr>
          <w:rFonts w:ascii="Times New Roman" w:hAnsi="Times New Roman" w:cs="Times New Roman"/>
        </w:rPr>
        <w:t xml:space="preserve">21世纪</w:t>
      </w:r>
      <w:r>
        <w:rPr>
          <w:rFonts w:ascii="Times New Roman" w:hAnsi="Times New Roman" w:cs="Times New Roman"/>
        </w:rPr>
        <w:t xml:space="preserve">都</w:t>
      </w:r>
      <w:r>
        <w:rPr>
          <w:rFonts w:ascii="Times New Roman" w:hAnsi="Times New Roman" w:cs="Times New Roman"/>
        </w:rPr>
        <w:t xml:space="preserve">推崇平等。但前者将平等理解为社会划分中固有的属性，这种划分在诸多方面催生了社会、政治和经济层级；而</w:t>
      </w:r>
      <w:r>
        <w:rPr>
          <w:rFonts w:ascii="Times New Roman" w:hAnsi="Times New Roman" w:cs="Times New Roman"/>
          <w:vertAlign w:val="superscript"/>
        </w:rPr>
        <w:t xml:space="preserve">2</w:t>
      </w:r>
      <w:r>
        <w:rPr>
          <w:rFonts w:ascii="Times New Roman" w:hAnsi="Times New Roman" w:cs="Times New Roman"/>
        </w:rPr>
        <w:t xml:space="preserve">1世纪</w:t>
      </w:r>
      <w:r>
        <w:rPr>
          <w:rFonts w:ascii="Times New Roman" w:hAnsi="Times New Roman" w:cs="Times New Roman"/>
        </w:rPr>
        <w:t xml:space="preserve">则</w:t>
      </w:r>
      <w:r>
        <w:rPr>
          <w:rFonts w:ascii="Times New Roman" w:hAnsi="Times New Roman" w:cs="Times New Roman"/>
        </w:rPr>
        <w:t xml:space="preserve">赋予该术语一种截然不同的秩序感。 区块链编程可能将这种时间演进视为挑战；又或者，时间性与迭代性区块的本质本身，或许恰恰允许一种能够提取（并最终预见）诠释模式的编码方式。亦或，它可能以所谓</w:t>
      </w:r>
      <w:r>
        <w:rPr>
          <w:rFonts w:ascii="Times New Roman" w:hAnsi="Times New Roman" w:cs="Times New Roman"/>
        </w:rPr>
        <w:t xml:space="preserve">“</w:t>
      </w:r>
      <w:r>
        <w:rPr>
          <w:rFonts w:ascii="Times New Roman" w:hAnsi="Times New Roman" w:cs="Times New Roman"/>
        </w:rPr>
        <w:t xml:space="preserve">去语境化</w:t>
      </w:r>
      <w:r>
        <w:rPr>
          <w:rFonts w:ascii="Times New Roman" w:hAnsi="Times New Roman" w:cs="Times New Roman"/>
        </w:rPr>
        <w:t xml:space="preserve">”</w:t>
      </w:r>
      <w:r>
        <w:rPr>
          <w:rStyle w:val="FootnoteReference"/>
          <w:rFonts w:ascii="Times New Roman" w:hAnsi="Times New Roman" w:cs="Times New Roman"/>
        </w:rPr>
        <w:footnoteReference w:id="58"/>
      </w:r>
      <w:r>
        <w:rPr>
          <w:rFonts w:ascii="Times New Roman" w:hAnsi="Times New Roman" w:cs="Times New Roman"/>
        </w:rPr>
        <w:t xml:space="preserve"> </w:t>
      </w:r>
      <w:r>
        <w:rPr>
          <w:rFonts w:ascii="Times New Roman" w:hAnsi="Times New Roman" w:cs="Times New Roman"/>
        </w:rPr>
        <w:t xml:space="preserve">的形式对此难以抗拒</w:t>
      </w:r>
      <w:r>
        <w:rPr>
          <w:rFonts w:ascii="Times New Roman" w:hAnsi="Times New Roman" w:cs="Times New Roman"/>
        </w:rPr>
        <w:t xml:space="preserve">；本质上，这是机器智能试图模仿其所接收的人类行为数据中清晰体现的规范性漂移。 此外，还有一种巨大的、野蛮的诱惑——利用模式预测的力量，试图以符合那些有权介入该过程之人的方式来控制流程</w:t>
      </w:r>
      <w:r>
        <w:rPr>
          <w:rFonts w:ascii="Times New Roman" w:hAnsi="Times New Roman" w:cs="Times New Roman"/>
        </w:rPr>
        <w:t xml:space="preserve">。</w:t>
      </w:r>
      <w:r>
        <w:rPr>
          <w:rStyle w:val="FootnoteReference"/>
          <w:rFonts w:ascii="Times New Roman" w:hAnsi="Times New Roman" w:cs="Times New Roman"/>
        </w:rPr>
        <w:footnoteReference w:id="59"/>
      </w:r>
      <w:r>
        <w:rPr>
          <w:rFonts w:ascii="Times New Roman" w:hAnsi="Times New Roman" w:cs="Times New Roman"/>
        </w:rPr>
        <w:t xml:space="preserve"> 因此，所有这些都将人类的本质——那“太过人性”的本质——编码进了他们的机器系统之中。</w:t>
      </w:r>
    </w:p>
    <w:p w:rsidRPr="002162E0" w:rsidR="00062B76" w:rsidP="00D33081" w:rsidRDefault="00062B76" w14:paraId="5AB80B89" w14:textId="77777777">
      <w:pPr>
        <w:rPr>
          <w:rFonts w:ascii="Times New Roman" w:hAnsi="Times New Roman" w:cs="Times New Roman"/>
        </w:rPr>
      </w:pPr>
    </w:p>
    <w:p w:rsidRPr="002162E0" w:rsidR="00062B76" w:rsidP="00D33081" w:rsidRDefault="00062B76" w14:paraId="3D9FCBEF" w14:textId="10EAA6BA">
      <w:pPr>
        <w:rPr>
          <w:rFonts w:ascii="Times New Roman" w:hAnsi="Times New Roman" w:cs="Times New Roman"/>
        </w:rPr>
      </w:pPr>
      <w:r>
        <w:rPr>
          <w:rFonts w:ascii="Times New Roman" w:hAnsi="Times New Roman" w:cs="Times New Roman"/>
          <w:i/>
          <w:iCs/>
        </w:rPr>
        <w:t xml:space="preserve">C. 质量控制</w:t>
      </w:r>
      <w:r>
        <w:rPr>
          <w:rFonts w:ascii="Times New Roman" w:hAnsi="Times New Roman" w:cs="Times New Roman"/>
        </w:rPr>
        <w:t xml:space="preserve">。区块链固有的去中心化特性给问责制带来了挑战。这体现在三个方面——首先涉及责任的分配：应由程序员、运营商、节点管理员还是符合账本记录标准的交易生成者来承担？其次涉及责任的性质：是编写“优质”代码？还是监督代码的运行和功能（具体采用何种衡量标准则是次要问题）。 第三点是管理节点中的“暴民统治”，或其对立面——战略性否决权。在无政府状态的系统中，最终的权力在于：如果能够做到，就带着自己拥有的资产退出区块链。</w:t>
      </w:r>
    </w:p>
    <w:p w:rsidRPr="002162E0" w:rsidR="004F0C91" w:rsidP="00D33081" w:rsidRDefault="004F0C91" w14:paraId="59A2DF8F" w14:textId="77777777">
      <w:pPr>
        <w:rPr>
          <w:rFonts w:ascii="Times New Roman" w:hAnsi="Times New Roman" w:cs="Times New Roman"/>
        </w:rPr>
      </w:pPr>
    </w:p>
    <w:p w:rsidRPr="002162E0" w:rsidR="008355B1" w:rsidP="00D33081" w:rsidRDefault="000F1D7F" w14:paraId="585CB902" w14:textId="19F4AF1F">
      <w:pPr>
        <w:rPr>
          <w:rFonts w:ascii="Times New Roman" w:hAnsi="Times New Roman" w:cs="Times New Roman"/>
        </w:rPr>
      </w:pPr>
      <w:r>
        <w:t>四、</w:t>
      </w:r>
      <w:r>
        <w:rPr>
          <w:rFonts w:ascii="Times New Roman" w:hAnsi="Times New Roman" w:cs="Times New Roman"/>
        </w:rPr>
        <w:t>“代码</w:t>
      </w:r>
      <w:r>
        <w:t>之治</w:t>
      </w:r>
      <w:r>
        <w:rPr>
          <w:rFonts w:ascii="Times New Roman" w:hAnsi="Times New Roman" w:cs="Times New Roman"/>
        </w:rPr>
        <w:t>”对区块链系统合法性的重要性。</w:t>
      </w:r>
    </w:p>
    <w:p w:rsidRPr="002162E0" w:rsidR="000B6376" w:rsidP="00D33081" w:rsidRDefault="000B6376" w14:paraId="7A6DD12B" w14:textId="77777777">
      <w:pPr>
        <w:rPr>
          <w:rFonts w:ascii="Times New Roman" w:hAnsi="Times New Roman" w:cs="Times New Roman"/>
        </w:rPr>
      </w:pPr>
    </w:p>
    <w:p w:rsidRPr="002162E0" w:rsidR="00843294" w:rsidP="006340FC" w:rsidRDefault="009C631F" w14:paraId="70C193D1" w14:textId="1143A2E4">
      <w:pPr>
        <w:ind w:firstLine="720"/>
        <w:rPr>
          <w:rFonts w:ascii="Times New Roman" w:hAnsi="Times New Roman" w:cs="Times New Roman"/>
        </w:rPr>
      </w:pPr>
      <w:r>
        <w:rPr>
          <w:rFonts w:ascii="Times New Roman" w:hAnsi="Times New Roman" w:cs="Times New Roman"/>
        </w:rPr>
        <w:t>区块链系统的运行完全取决于“代码</w:t>
      </w:r>
      <w:r>
        <w:rPr>
          <w:rFonts w:ascii="Times New Roman" w:hAnsi="Times New Roman" w:cs="Times New Roman"/>
        </w:rPr>
        <w:t>之</w:t>
      </w:r>
      <w:r>
        <w:rPr>
          <w:rFonts w:ascii="Times New Roman" w:hAnsi="Times New Roman" w:cs="Times New Roman"/>
        </w:rPr>
        <w:t>治</w:t>
      </w:r>
      <w:r>
        <w:rPr>
          <w:rFonts w:ascii="Times New Roman" w:hAnsi="Times New Roman" w:cs="Times New Roman"/>
        </w:rPr>
        <w:t>”的完整性</w:t>
      </w:r>
      <w:r>
        <w:rPr>
          <w:rFonts w:ascii="Times New Roman" w:hAnsi="Times New Roman" w:cs="Times New Roman"/>
        </w:rPr>
        <w:t xml:space="preserve">。</w:t>
      </w:r>
      <w:r>
        <w:rPr>
          <w:rStyle w:val="FootnoteReference"/>
          <w:rFonts w:ascii="Times New Roman" w:hAnsi="Times New Roman" w:cs="Times New Roman"/>
        </w:rPr>
        <w:footnoteReference w:id="60"/>
      </w:r>
      <w:r>
        <w:rPr>
          <w:rFonts w:ascii="Times New Roman" w:hAnsi="Times New Roman" w:cs="Times New Roman"/>
        </w:rPr>
        <w:t xml:space="preserve"> 这一点毋庸置疑，且有别于新兴的“</w:t>
      </w:r>
      <w:r>
        <w:rPr>
          <w:rFonts w:ascii="Times New Roman" w:hAnsi="Times New Roman" w:cs="Times New Roman"/>
        </w:rPr>
        <w:t>依</w:t>
      </w:r>
      <w:r>
        <w:rPr>
          <w:rFonts w:ascii="Times New Roman" w:hAnsi="Times New Roman" w:cs="Times New Roman"/>
        </w:rPr>
        <w:t>代码</w:t>
      </w:r>
      <w:r>
        <w:rPr>
          <w:rFonts w:ascii="Times New Roman" w:hAnsi="Times New Roman" w:cs="Times New Roman"/>
        </w:rPr>
        <w:t>而</w:t>
      </w:r>
      <w:r>
        <w:rPr>
          <w:rFonts w:ascii="Times New Roman" w:hAnsi="Times New Roman" w:cs="Times New Roman"/>
        </w:rPr>
        <w:t>治”文献</w:t>
      </w:r>
      <w:r>
        <w:rPr>
          <w:rFonts w:ascii="Times New Roman" w:hAnsi="Times New Roman" w:cs="Times New Roman"/>
        </w:rPr>
        <w:t xml:space="preserve">。</w:t>
      </w:r>
      <w:r>
        <w:rPr>
          <w:rStyle w:val="FootnoteReference"/>
          <w:rFonts w:ascii="Times New Roman" w:hAnsi="Times New Roman" w:cs="Times New Roman"/>
        </w:rPr>
        <w:footnoteReference w:id="61"/>
      </w:r>
      <w:r>
        <w:rPr>
          <w:rFonts w:ascii="Times New Roman" w:hAnsi="Times New Roman" w:cs="Times New Roman"/>
        </w:rPr>
        <w:t xml:space="preserve"> 它也应</w:t>
      </w:r>
      <w:r>
        <w:rPr>
          <w:rFonts w:ascii="Times New Roman" w:hAnsi="Times New Roman" w:cs="Times New Roman"/>
          <w:i/>
          <w:iCs/>
        </w:rPr>
        <w:t xml:space="preserve">与“规则即代码</w:t>
      </w:r>
      <w:r>
        <w:rPr>
          <w:rFonts w:ascii="Times New Roman" w:hAnsi="Times New Roman" w:cs="Times New Roman"/>
        </w:rPr>
        <w:t xml:space="preserve">”概念</w:t>
      </w:r>
      <w:r>
        <w:rPr>
          <w:rFonts w:ascii="Times New Roman" w:hAnsi="Times New Roman" w:cs="Times New Roman"/>
        </w:rPr>
        <w:t xml:space="preserve">相区分</w:t>
      </w:r>
      <w:r>
        <w:rPr>
          <w:rFonts w:ascii="Times New Roman" w:hAnsi="Times New Roman" w:cs="Times New Roman"/>
        </w:rPr>
        <w:t xml:space="preserve">。</w:t>
      </w:r>
      <w:r>
        <w:rPr>
          <w:rStyle w:val="FootnoteReference"/>
          <w:rFonts w:ascii="Times New Roman" w:hAnsi="Times New Roman" w:cs="Times New Roman"/>
        </w:rPr>
        <w:footnoteReference w:id="62"/>
      </w:r>
      <w:r>
        <w:rPr>
          <w:rFonts w:ascii="Times New Roman" w:hAnsi="Times New Roman" w:cs="Times New Roman"/>
        </w:rPr>
        <w:t xml:space="preserve"> 尽管如此，或许正是由于“</w:t>
      </w:r>
      <w:r>
        <w:rPr>
          <w:rFonts w:ascii="Times New Roman" w:hAnsi="Times New Roman" w:cs="Times New Roman"/>
        </w:rPr>
        <w:t>依</w:t>
      </w:r>
      <w:r>
        <w:rPr>
          <w:rFonts w:ascii="Times New Roman" w:hAnsi="Times New Roman" w:cs="Times New Roman"/>
        </w:rPr>
        <w:t>代码</w:t>
      </w:r>
      <w:r>
        <w:rPr>
          <w:rFonts w:ascii="Times New Roman" w:hAnsi="Times New Roman" w:cs="Times New Roman"/>
        </w:rPr>
        <w:t>而</w:t>
      </w:r>
      <w:r>
        <w:rPr>
          <w:rFonts w:ascii="Times New Roman" w:hAnsi="Times New Roman" w:cs="Times New Roman"/>
        </w:rPr>
        <w:t>治”与“规则即代码”这些相关概念的存在，我们可以从与监管体系的粗略类比中得出结论：监管体系本身正是基于“法治”的完整性而权威地运作的</w:t>
      </w:r>
      <w:r>
        <w:rPr>
          <w:rFonts w:ascii="Times New Roman" w:hAnsi="Times New Roman" w:cs="Times New Roman"/>
        </w:rPr>
        <w:t xml:space="preserve">。</w:t>
      </w:r>
      <w:r>
        <w:rPr>
          <w:rStyle w:val="FootnoteReference"/>
          <w:rFonts w:ascii="Times New Roman" w:hAnsi="Times New Roman" w:cs="Times New Roman"/>
        </w:rPr>
        <w:footnoteReference w:id="63"/>
      </w:r>
      <w:r>
        <w:rPr>
          <w:rFonts w:ascii="Times New Roman" w:hAnsi="Times New Roman" w:cs="Times New Roman"/>
        </w:rPr>
        <w:t xml:space="preserve"> 然而，挑战源于这样一种观念的不连贯性：即认为区块链是在一种单一语言的框架内进行监管的</w:t>
      </w:r>
      <w:r>
        <w:rPr>
          <w:rFonts w:ascii="Times New Roman" w:hAnsi="Times New Roman" w:cs="Times New Roman"/>
        </w:rPr>
        <w:t xml:space="preserve">。</w:t>
      </w:r>
      <w:r>
        <w:rPr>
          <w:rFonts w:ascii="Times New Roman" w:hAnsi="Times New Roman" w:cs="Times New Roman"/>
        </w:rPr>
        <w:t xml:space="preserve">正如本文</w:t>
      </w:r>
      <w:r>
        <w:rPr>
          <w:rFonts w:ascii="Times New Roman" w:hAnsi="Times New Roman" w:cs="Times New Roman"/>
        </w:rPr>
        <w:t xml:space="preserve">此前所</w:t>
      </w:r>
      <w:r>
        <w:rPr>
          <w:rFonts w:ascii="Times New Roman" w:hAnsi="Times New Roman" w:cs="Times New Roman"/>
        </w:rPr>
        <w:lastRenderedPageBreak/>
      </w:r>
      <w:r>
        <w:rPr>
          <w:rFonts w:ascii="Times New Roman" w:hAnsi="Times New Roman" w:cs="Times New Roman"/>
        </w:rPr>
        <w:t xml:space="preserve"> 指出的，“代码之治”或许更应被理解为一种由无限相互渗透的语言构成的生态系统，这些语言共同构成了代码监管“文本”的全部。 源代码、机器语言、对象代码和可执行代码，以及被转译为代码的监管语言之间的相互作用、翻译、转译、逻辑和表现形式，揭示了“代码</w:t>
      </w:r>
      <w:r>
        <w:rPr>
          <w:rFonts w:ascii="Times New Roman" w:hAnsi="Times New Roman" w:cs="Times New Roman"/>
        </w:rPr>
        <w:t>之</w:t>
      </w:r>
      <w:r>
        <w:rPr>
          <w:rFonts w:ascii="Times New Roman" w:hAnsi="Times New Roman" w:cs="Times New Roman"/>
        </w:rPr>
        <w:t>治”的结构与语言学中更为复杂的要素。 更有趣的是，人类只能接触到“代码”语言中的部分组成部分。然而，翻译问题也因此变得更加复杂——首先是在构成“代码</w:t>
      </w:r>
      <w:r>
        <w:rPr>
          <w:rFonts w:ascii="Times New Roman" w:hAnsi="Times New Roman" w:cs="Times New Roman"/>
        </w:rPr>
        <w:t>之治</w:t>
      </w:r>
      <w:r>
        <w:rPr>
          <w:rFonts w:ascii="Times New Roman" w:hAnsi="Times New Roman" w:cs="Times New Roman"/>
        </w:rPr>
        <w:t>”互动对话的各种语言之间，其次则是将“过于人性化”的法治语言和文化期望与“代码”语言进行转换。</w:t>
      </w:r>
      <w:r>
        <w:rPr>
          <w:rStyle w:val="FootnoteReference"/>
          <w:rFonts w:ascii="Times New Roman" w:hAnsi="Times New Roman" w:cs="Times New Roman"/>
        </w:rPr>
        <w:footnoteReference w:id="64"/>
      </w:r>
    </w:p>
    <w:p w:rsidRPr="002162E0" w:rsidR="00843294" w:rsidP="00D33081" w:rsidRDefault="00843294" w14:paraId="284ECD0A" w14:textId="77777777">
      <w:pPr>
        <w:rPr>
          <w:rFonts w:ascii="Times New Roman" w:hAnsi="Times New Roman" w:cs="Times New Roman"/>
        </w:rPr>
      </w:pPr>
    </w:p>
    <w:p w:rsidRPr="002162E0" w:rsidR="009C631F" w:rsidP="006340FC" w:rsidRDefault="009C631F" w14:paraId="53C5E43A" w14:textId="5102B23C">
      <w:pPr>
        <w:ind w:firstLine="720"/>
        <w:rPr>
          <w:rFonts w:ascii="Times New Roman" w:hAnsi="Times New Roman" w:cs="Times New Roman"/>
        </w:rPr>
      </w:pPr>
      <w:r>
        <w:rPr>
          <w:rFonts w:ascii="Times New Roman" w:hAnsi="Times New Roman" w:cs="Times New Roman"/>
        </w:rPr>
        <w:t>尚不确定的是，任何对“代码</w:t>
      </w:r>
      <w:r>
        <w:t>之</w:t>
      </w:r>
      <w:r>
        <w:rPr>
          <w:rFonts w:ascii="Times New Roman" w:hAnsi="Times New Roman" w:cs="Times New Roman"/>
        </w:rPr>
        <w:t>治”构成结构性耦合（污染）的行为，将对其完整性产生何种影响。关于传统监管措施的性质与功能——即旨在“管理”、“控制”或“驯化”人工智能系统——的争论，使这一问题显得更加尖锐。 在欧洲，与其他地区一样，更倾向于采用基于风险的分析方法。</w:t>
      </w:r>
      <w:r>
        <w:rPr>
          <w:rStyle w:val="FootnoteReference"/>
          <w:rFonts w:ascii="Times New Roman" w:hAnsi="Times New Roman" w:cs="Times New Roman"/>
        </w:rPr>
        <w:footnoteReference w:id="65"/>
      </w:r>
      <w:r>
        <w:rPr>
          <w:rFonts w:ascii="Times New Roman" w:hAnsi="Times New Roman" w:cs="Times New Roman"/>
        </w:rPr>
        <w:t xml:space="preserve"> 此处的思路似乎是：对人类及人类思想的风险，应当成为推动外部强加的监管体系的驱动力。 这一前提背后隐含着这样的观念：虽然人类可以在法治框架内从事基于风险的行为（例如人脸识别、情绪分析等），但不应允许“机器”从事同类活动，更不应允许其增强从事此类风险行为的人类的能力。</w:t>
      </w:r>
    </w:p>
    <w:p w:rsidRPr="002162E0" w:rsidR="00A56785" w:rsidP="00D33081" w:rsidRDefault="00A56785" w14:paraId="036A4FDC" w14:textId="77777777">
      <w:pPr>
        <w:rPr>
          <w:rFonts w:ascii="Times New Roman" w:hAnsi="Times New Roman" w:cs="Times New Roman"/>
        </w:rPr>
      </w:pPr>
    </w:p>
    <w:p w:rsidRPr="002162E0" w:rsidR="00A56785" w:rsidP="001C4178" w:rsidRDefault="00A56785" w14:paraId="5B877BC1" w14:textId="68E5F1E5">
      <w:pPr>
        <w:ind w:firstLine="720"/>
        <w:rPr>
          <w:rFonts w:ascii="Times New Roman" w:hAnsi="Times New Roman" w:cs="Times New Roman"/>
        </w:rPr>
      </w:pPr>
      <w:r>
        <w:rPr>
          <w:rFonts w:ascii="Times New Roman" w:hAnsi="Times New Roman" w:cs="Times New Roman"/>
        </w:rPr>
        <w:t xml:space="preserve">当然，区块链系统往往更重视系统本身及其关键要素——即其对象、能指以及由此衍生的解释空间。在这些结构中，以人为本的因素可能会被边缘化</w:t>
      </w:r>
      <w:r>
        <w:rPr>
          <w:rFonts w:ascii="Times New Roman" w:hAnsi="Times New Roman" w:cs="Times New Roman"/>
        </w:rPr>
        <w:t xml:space="preserve">。</w:t>
      </w:r>
      <w:r>
        <w:rPr>
          <w:rFonts w:ascii="Times New Roman" w:hAnsi="Times New Roman" w:cs="Times New Roman"/>
        </w:rPr>
        <w:t xml:space="preserve">例如，将人</w:t>
      </w:r>
      <w:r>
        <w:rPr>
          <w:rFonts w:ascii="Times New Roman" w:hAnsi="Times New Roman" w:cs="Times New Roman"/>
        </w:rPr>
        <w:t xml:space="preserve">权“</w:t>
      </w:r>
      <w:r>
        <w:rPr>
          <w:rFonts w:ascii="Times New Roman" w:hAnsi="Times New Roman" w:cs="Times New Roman"/>
        </w:rPr>
        <w:t xml:space="preserve">编码化”无疑是一项艰巨的任务；</w:t>
      </w:r>
      <w:r>
        <w:rPr>
          <w:rStyle w:val="FootnoteReference"/>
          <w:rFonts w:ascii="Times New Roman" w:hAnsi="Times New Roman" w:cs="Times New Roman"/>
        </w:rPr>
        <w:footnoteReference w:id="66"/>
      </w:r>
      <w:r>
        <w:rPr>
          <w:rFonts w:ascii="Times New Roman" w:hAnsi="Times New Roman" w:cs="Times New Roman"/>
        </w:rPr>
        <w:t xml:space="preserve"> 而“基于人权”的编码项目则相对容易得多，它借鉴了以人为中心的类比方式</w:t>
      </w:r>
      <w:r>
        <w:rPr>
          <w:rFonts w:ascii="Times New Roman" w:hAnsi="Times New Roman" w:cs="Times New Roman"/>
        </w:rPr>
        <w:t xml:space="preserve">。</w:t>
      </w:r>
      <w:r>
        <w:rPr>
          <w:rStyle w:val="FootnoteReference"/>
          <w:rFonts w:ascii="Times New Roman" w:hAnsi="Times New Roman" w:cs="Times New Roman"/>
        </w:rPr>
        <w:footnoteReference w:id="67"/>
      </w:r>
      <w:r>
        <w:rPr>
          <w:rFonts w:ascii="Times New Roman" w:hAnsi="Times New Roman" w:cs="Times New Roman"/>
        </w:rPr>
        <w:t xml:space="preserve"> 从一个</w:t>
      </w:r>
      <w:r>
        <w:rPr>
          <w:rFonts w:ascii="Times New Roman" w:hAnsi="Times New Roman" w:cs="Times New Roman"/>
        </w:rPr>
        <w:t xml:space="preserve">方面来看</w:t>
      </w:r>
      <w:r>
        <w:rPr>
          <w:rFonts w:ascii="Times New Roman" w:hAnsi="Times New Roman" w:cs="Times New Roman"/>
        </w:rPr>
        <w:t xml:space="preserve">，该项目几乎不可能实现，因为在法治框架下被赋予优先地位的</w:t>
      </w:r>
      <w:r>
        <w:rPr>
          <w:rFonts w:ascii="Times New Roman" w:hAnsi="Times New Roman" w:cs="Times New Roman"/>
        </w:rPr>
        <w:t xml:space="preserve">、</w:t>
      </w:r>
      <w:r>
        <w:rPr>
          <w:rFonts w:ascii="Times New Roman" w:hAnsi="Times New Roman" w:cs="Times New Roman"/>
        </w:rPr>
        <w:t xml:space="preserve">本应受益于此的人类群体尚未形成任何形式的共识，而且无论如何，这种共识都将是一个不断变化的目标</w:t>
      </w:r>
      <w:r>
        <w:rPr>
          <w:rFonts w:ascii="Times New Roman" w:hAnsi="Times New Roman" w:cs="Times New Roman"/>
        </w:rPr>
        <w:t xml:space="preserve">。</w:t>
      </w:r>
      <w:r>
        <w:rPr>
          <w:rStyle w:val="FootnoteReference"/>
          <w:rFonts w:ascii="Times New Roman" w:hAnsi="Times New Roman" w:cs="Times New Roman"/>
        </w:rPr>
        <w:footnoteReference w:id="68"/>
      </w:r>
      <w:r>
        <w:rPr>
          <w:rFonts w:ascii="Times New Roman" w:hAnsi="Times New Roman" w:cs="Times New Roman"/>
        </w:rPr>
        <w:t xml:space="preserve"> 从另一个方面来看，将人权等概念移植到区块链环境中也将面临挑战。 首先必须解决定位问题：是将其嵌入</w:t>
      </w:r>
      <w:r>
        <w:rPr>
          <w:rFonts w:ascii="Times New Roman" w:hAnsi="Times New Roman" w:cs="Times New Roman"/>
        </w:rPr>
        <w:t xml:space="preserve">账本交易的</w:t>
      </w:r>
      <w:r>
        <w:rPr>
          <w:rFonts w:ascii="Times New Roman" w:hAnsi="Times New Roman" w:cs="Times New Roman"/>
        </w:rPr>
        <w:t xml:space="preserve">宪法条款中</w:t>
      </w:r>
      <w:r>
        <w:rPr>
          <w:rFonts w:ascii="Times New Roman" w:hAnsi="Times New Roman" w:cs="Times New Roman"/>
        </w:rPr>
        <w:t xml:space="preserve">，还是</w:t>
      </w:r>
      <w:r>
        <w:rPr>
          <w:rFonts w:ascii="Times New Roman" w:hAnsi="Times New Roman" w:cs="Times New Roman"/>
        </w:rPr>
        <w:t xml:space="preserve">嵌入</w:t>
      </w:r>
      <w:r>
        <w:rPr>
          <w:rFonts w:ascii="Times New Roman" w:hAnsi="Times New Roman" w:cs="Times New Roman"/>
        </w:rPr>
        <w:t xml:space="preserve">区块，抑或是生成新区块的交易中？区块本身是人权的客体，还是仅其内容才是客体？区块链所服务的过程是否属于权利分析的对象？若是，在人类认知空间中存在多种且相互矛盾的人权叙述的情况下，如何衡量其对人权的不利影响？诸如此类。 但或许，在人机互联的互动动态中被进一步加剧的、既涉及人类也涉及机器的更大问题，在于</w:t>
      </w:r>
      <w:r>
        <w:rPr>
          <w:rFonts w:ascii="Times New Roman" w:hAnsi="Times New Roman" w:cs="Times New Roman"/>
        </w:rPr>
        <w:lastRenderedPageBreak/>
      </w:r>
      <w:r>
        <w:rPr>
          <w:rFonts w:ascii="Times New Roman" w:hAnsi="Times New Roman" w:cs="Times New Roman"/>
        </w:rPr>
        <w:t xml:space="preserve"> 稳态及其带来的风险：系统因僵化而脱离机器与人类的现实，进而因这种脱离而导致衰败。</w:t>
      </w:r>
      <w:r>
        <w:rPr>
          <w:rStyle w:val="FootnoteReference"/>
          <w:rFonts w:ascii="Times New Roman" w:hAnsi="Times New Roman" w:cs="Times New Roman"/>
        </w:rPr>
        <w:footnoteReference w:id="69"/>
      </w:r>
    </w:p>
    <w:p w:rsidRPr="002162E0" w:rsidR="005672CE" w:rsidP="00D33081" w:rsidRDefault="005672CE" w14:paraId="521F0FBC" w14:textId="77777777">
      <w:pPr>
        <w:rPr>
          <w:rFonts w:ascii="Times New Roman" w:hAnsi="Times New Roman" w:cs="Times New Roman"/>
        </w:rPr>
      </w:pPr>
    </w:p>
    <w:p w:rsidRPr="009A4AD1" w:rsidR="005672CE" w:rsidP="006340FC" w:rsidRDefault="005672CE" w14:paraId="2B0AD19A" w14:textId="5C5C637D">
      <w:pPr>
        <w:ind w:firstLine="720"/>
        <w:rPr>
          <w:rFonts w:ascii="Times New Roman" w:hAnsi="Times New Roman" w:cs="Times New Roman"/>
          <w:lang w:eastAsia="zh-TW"/>
        </w:rPr>
      </w:pPr>
      <w:r>
        <w:rPr>
          <w:rFonts w:ascii="Times New Roman" w:hAnsi="Times New Roman" w:cs="Times New Roman"/>
        </w:rPr>
        <w:t xml:space="preserve">尽管如此，我们仍需区分两点：一方面，编码及其相互渗透的编码语言（机器与人类）对区块链的构建和运行具有核心地位；另一方面，围绕区块链的监管激励机制，尤其是当区块链在结构上与其他人类及虚拟子系统耦合时。 区块链的内部规制很可能是以自我指涉的方式编码的，并遵循上文所述</w:t>
      </w:r>
      <w:r>
        <w:rPr>
          <w:rFonts w:ascii="Times New Roman" w:hAnsi="Times New Roman" w:cs="Times New Roman"/>
        </w:rPr>
        <w:t xml:space="preserve">的</w:t>
      </w:r>
      <w:r>
        <w:rPr>
          <w:rFonts w:ascii="Times New Roman" w:hAnsi="Times New Roman" w:cs="Times New Roman"/>
        </w:rPr>
        <w:t xml:space="preserve">自身理性逻辑与原则。然而，其效应却并非如此</w:t>
      </w:r>
      <w:r>
        <w:rPr>
          <w:rFonts w:ascii="Times New Roman" w:hAnsi="Times New Roman" w:cs="Times New Roman"/>
        </w:rPr>
        <w:t xml:space="preserve">。</w:t>
      </w:r>
      <w:r>
        <w:rPr>
          <w:rStyle w:val="FootnoteReference"/>
          <w:rFonts w:ascii="Times New Roman" w:hAnsi="Times New Roman" w:cs="Times New Roman"/>
        </w:rPr>
        <w:footnoteReference w:id="70"/>
      </w:r>
      <w:r>
        <w:rPr>
          <w:rFonts w:ascii="Times New Roman" w:hAnsi="Times New Roman" w:cs="Times New Roman"/>
        </w:rPr>
        <w:t xml:space="preserve"> 正是在这一从区块链向外投射的“效应”空间中，可能需要构建编码化的合法性体系，这需要进行实质性的探究，而此类探究迄今尚未取得显著成效。 在此，必须发展出</w:t>
      </w:r>
      <w:r>
        <w:rPr>
          <w:rFonts w:ascii="Times New Roman" w:hAnsi="Times New Roman" w:cs="Times New Roman"/>
        </w:rPr>
        <w:t>关于“桥接法”与“桥接语言”的理论，使之</w:t>
      </w:r>
      <w:r>
        <w:rPr>
          <w:rFonts w:ascii="Times New Roman" w:hAnsi="Times New Roman" w:cs="Times New Roman"/>
        </w:rPr>
        <w:t>能</w:t>
      </w:r>
      <w:r>
        <w:rPr>
          <w:rFonts w:ascii="Times New Roman" w:hAnsi="Times New Roman" w:cs="Times New Roman"/>
        </w:rPr>
        <w:t>够</w:t>
      </w:r>
      <w:r>
        <w:rPr>
          <w:rFonts w:ascii="Times New Roman" w:hAnsi="Times New Roman" w:cs="Times New Roman"/>
        </w:rPr>
        <w:t>同时向两个方向延伸</w:t>
      </w:r>
      <w:r>
        <w:rPr>
          <w:rFonts w:ascii="Times New Roman" w:hAnsi="Times New Roman" w:cs="Times New Roman"/>
        </w:rPr>
        <w:t>。最后，区块链的完整性很可能与其对之无影响的物理系统的完整性相分离——或者，它可能成为推翻传统物理法统治、转而支持一种新型</w:t>
      </w:r>
      <w:r>
        <w:rPr>
          <w:rFonts w:ascii="Times New Roman" w:hAnsi="Times New Roman" w:cs="Times New Roman"/>
          <w:i/>
          <w:iCs/>
        </w:rPr>
        <w:t xml:space="preserve">加密式生物政治</w:t>
      </w:r>
      <w:r>
        <w:rPr>
          <w:rFonts w:ascii="Times New Roman" w:hAnsi="Times New Roman" w:cs="Times New Roman"/>
        </w:rPr>
        <w:t xml:space="preserve">的模板</w:t>
      </w:r>
      <w:r>
        <w:rPr>
          <w:rFonts w:ascii="Times New Roman" w:hAnsi="Times New Roman" w:cs="Times New Roman"/>
        </w:rPr>
        <w:t xml:space="preserve">。</w:t>
      </w:r>
      <w:r>
        <w:rPr>
          <w:rStyle w:val="FootnoteReference"/>
          <w:rFonts w:ascii="Times New Roman" w:hAnsi="Times New Roman" w:cs="Times New Roman"/>
        </w:rPr>
        <w:footnoteReference w:id="71"/>
      </w:r>
      <w:r>
        <w:rPr>
          <w:rFonts w:ascii="Times New Roman" w:hAnsi="Times New Roman" w:cs="Times New Roman"/>
        </w:rPr>
        <w:t xml:space="preserve"> 随之而来的是一种新型政治——它内嵌于编码结构之中，这些结构本身便具备独立的政治性，既允许机器在无需过多干预的情况下自主运作，又允许人类通过干预来利用其运作的编码结构。</w:t>
      </w:r>
      <w:r>
        <w:rPr>
          <w:rStyle w:val="FootnoteReference"/>
          <w:rFonts w:ascii="Times New Roman" w:hAnsi="Times New Roman" w:cs="Times New Roman"/>
        </w:rPr>
        <w:footnoteReference w:id="72"/>
      </w:r>
    </w:p>
    <w:p w:rsidR="00F15025" w:rsidP="006340FC" w:rsidRDefault="00F15025" w14:paraId="0152E752" w14:textId="77777777">
      <w:pPr>
        <w:ind w:firstLine="720"/>
        <w:rPr>
          <w:rFonts w:ascii="Times New Roman" w:hAnsi="Times New Roman" w:cs="Times New Roman"/>
        </w:rPr>
      </w:pPr>
    </w:p>
    <w:p w:rsidRPr="00F15025" w:rsidR="00F15025" w:rsidP="00F15025" w:rsidRDefault="00F15025" w14:paraId="7672F326" w14:textId="77777777">
      <w:pPr>
        <w:ind w:firstLine="720"/>
        <w:rPr>
          <w:rFonts w:ascii="Times New Roman" w:hAnsi="Times New Roman" w:cs="Times New Roman"/>
        </w:rPr>
      </w:pPr>
      <w:r>
        <w:rPr>
          <w:rFonts w:ascii="Times New Roman" w:hAnsi="Times New Roman" w:cs="Times New Roman"/>
        </w:rPr>
        <w:t>前文的分析表明，主要困难既不单纯在于制度设计，也不在于监管层级之间的冲突。更根本地说，这是一个跨越多层意义系统进行沟通的问题。为了阐明这一点，有必要更仔细地探讨“代码</w:t>
      </w:r>
      <w:r>
        <w:t>之</w:t>
      </w:r>
      <w:r>
        <w:rPr>
          <w:rFonts w:ascii="Times New Roman" w:hAnsi="Times New Roman" w:cs="Times New Roman"/>
        </w:rPr>
        <w:t>治”本身的内部语言学、其沟通形式的分层特征，以及当法律和文化意义从人类的规范性抽象降解为机器可执行逻辑时所产生的意义损失。</w:t>
      </w:r>
    </w:p>
    <w:p w:rsidR="00093AF0" w:rsidP="00093AF0" w:rsidRDefault="00093AF0" w14:paraId="3B6BE7C1" w14:textId="77777777">
      <w:pPr>
        <w:rPr>
          <w:rFonts w:ascii="Times New Roman" w:hAnsi="Times New Roman" w:cs="Times New Roman"/>
        </w:rPr>
      </w:pPr>
    </w:p>
    <w:p w:rsidRPr="00093AF0" w:rsidR="00093AF0" w:rsidP="00093AF0" w:rsidRDefault="00093AF0" w14:paraId="14148F92" w14:textId="77777777">
      <w:pPr>
        <w:rPr>
          <w:rFonts w:ascii="Times New Roman" w:hAnsi="Times New Roman" w:cs="Times New Roman"/>
        </w:rPr>
      </w:pPr>
      <w:r>
        <w:rPr>
          <w:rFonts w:ascii="Times New Roman" w:hAnsi="Times New Roman" w:cs="Times New Roman"/>
        </w:rPr>
        <w:t xml:space="preserve">五、监管的萨赫蛋糕与系统沟通问题。</w:t>
      </w:r>
    </w:p>
    <w:p w:rsidRPr="00093AF0" w:rsidR="00093AF0" w:rsidP="00093AF0" w:rsidRDefault="00093AF0" w14:paraId="73D48544" w14:textId="77777777">
      <w:pPr>
        <w:rPr>
          <w:rFonts w:ascii="Times New Roman" w:hAnsi="Times New Roman" w:cs="Times New Roman"/>
        </w:rPr>
      </w:pPr>
    </w:p>
    <w:p w:rsidRPr="00093AF0" w:rsidR="00093AF0" w:rsidP="00093AF0" w:rsidRDefault="00093AF0" w14:paraId="3B096881" w14:textId="77777777">
      <w:pPr>
        <w:rPr>
          <w:rFonts w:ascii="Times New Roman" w:hAnsi="Times New Roman" w:cs="Times New Roman"/>
          <w:i/>
          <w:iCs/>
        </w:rPr>
      </w:pPr>
      <w:r>
        <w:rPr>
          <w:rFonts w:ascii="Times New Roman" w:hAnsi="Times New Roman" w:cs="Times New Roman"/>
          <w:i/>
          <w:iCs/>
        </w:rPr>
        <w:t xml:space="preserve">i</w:t>
      </w:r>
      <w:r>
        <w:rPr>
          <w:rFonts w:ascii="Times New Roman" w:hAnsi="Times New Roman" w:cs="Times New Roman"/>
          <w:i/>
          <w:iCs/>
        </w:rPr>
        <w:t>. “单一代码</w:t>
      </w:r>
      <w:r>
        <w:rPr>
          <w:rFonts w:ascii="Times New Roman" w:hAnsi="Times New Roman" w:cs="Times New Roman"/>
          <w:i/>
          <w:iCs/>
        </w:rPr>
        <w:t>之</w:t>
      </w:r>
      <w:r>
        <w:rPr>
          <w:rFonts w:ascii="Times New Roman" w:hAnsi="Times New Roman" w:cs="Times New Roman"/>
          <w:i/>
          <w:iCs/>
        </w:rPr>
        <w:t>治”的幻象。</w:t>
      </w:r>
    </w:p>
    <w:p w:rsidRPr="00093AF0" w:rsidR="00093AF0" w:rsidP="004E3A22" w:rsidRDefault="00093AF0" w14:paraId="72FAFECB" w14:textId="13CB6DFF">
      <w:pPr>
        <w:ind w:firstLine="720"/>
        <w:rPr>
          <w:rFonts w:ascii="Times New Roman" w:hAnsi="Times New Roman" w:cs="Times New Roman"/>
        </w:rPr>
      </w:pPr>
      <w:r>
        <w:rPr>
          <w:rFonts w:ascii="Times New Roman" w:hAnsi="Times New Roman" w:cs="Times New Roman"/>
        </w:rPr>
        <w:t>当代关于区块链治理的辩论中，第一个分析性谬误在于假定“代码</w:t>
      </w:r>
      <w:r>
        <w:t>之</w:t>
      </w:r>
      <w:r>
        <w:rPr>
          <w:rFonts w:ascii="Times New Roman" w:hAnsi="Times New Roman" w:cs="Times New Roman"/>
        </w:rPr>
        <w:t>治</w:t>
      </w:r>
      <w:r>
        <w:rPr>
          <w:rFonts w:ascii="Times New Roman" w:hAnsi="Times New Roman" w:cs="Times New Roman"/>
        </w:rPr>
        <w:t>”指代的是单一事物。</w:t>
      </w:r>
      <w:r>
        <w:rPr>
          <w:rStyle w:val="FootnoteReference"/>
          <w:rFonts w:ascii="Times New Roman" w:hAnsi="Times New Roman" w:cs="Times New Roman"/>
        </w:rPr>
        <w:footnoteReference w:id="73"/>
      </w:r>
      <w:r>
        <w:rPr>
          <w:rFonts w:ascii="Times New Roman" w:hAnsi="Times New Roman" w:cs="Times New Roman"/>
        </w:rPr>
        <w:t xml:space="preserve"> 事实并非如此。它既不是一种单一的语言，也不是一种统一的监管形式。相反，它是一个由递归关联的沟通秩序构成的生态系统，每个秩序都有其自身的语法、语义、约束、排他性以及生效模式。 一旦否定了“区块链通过一种连贯的语言媒介进行治理”这一观念，“代码之治”（Rule of</w:t>
      </w:r>
      <w:r>
        <w:rPr>
          <w:rFonts w:ascii="Times New Roman" w:hAnsi="Times New Roman" w:cs="Times New Roman"/>
        </w:rPr>
        <w:lastRenderedPageBreak/>
      </w:r>
      <w:r>
        <w:rPr>
          <w:rFonts w:ascii="Times New Roman" w:hAnsi="Times New Roman" w:cs="Times New Roman"/>
        </w:rPr>
        <w:t xml:space="preserve"> Code）便呈现为一种由多种语言构成的萨赫蛋糕（Sacher-Torte），命令、指涉与执行正是通过这些语言层层叠加并得以中介的。</w:t>
      </w:r>
    </w:p>
    <w:p w:rsidRPr="00093AF0" w:rsidR="00093AF0" w:rsidP="00093AF0" w:rsidRDefault="00093AF0" w14:paraId="220D9B19" w14:textId="77777777">
      <w:pPr>
        <w:rPr>
          <w:rFonts w:ascii="Times New Roman" w:hAnsi="Times New Roman" w:cs="Times New Roman"/>
        </w:rPr>
      </w:pPr>
    </w:p>
    <w:p w:rsidRPr="00093AF0" w:rsidR="00093AF0" w:rsidP="004E3A22" w:rsidRDefault="00093AF0" w14:paraId="7F03D08A" w14:textId="2198720C">
      <w:pPr>
        <w:ind w:firstLine="720"/>
        <w:rPr>
          <w:rFonts w:ascii="Times New Roman" w:hAnsi="Times New Roman" w:cs="Times New Roman"/>
        </w:rPr>
      </w:pPr>
      <w:r>
        <w:rPr>
          <w:rFonts w:ascii="Times New Roman" w:hAnsi="Times New Roman" w:cs="Times New Roman"/>
        </w:rPr>
        <w:t>这一认识至关重要，因为“法治”与“代码</w:t>
      </w:r>
      <w:r>
        <w:t>之</w:t>
      </w:r>
      <w:r>
        <w:rPr>
          <w:rFonts w:ascii="Times New Roman" w:hAnsi="Times New Roman" w:cs="Times New Roman"/>
        </w:rPr>
        <w:t>治”之间的摩擦，并不能仅用主权命令与技术设计之间冲突这一熟悉的修辞来穷尽。更深层的困难在于沟通层面。这是一个跨越异质意义系统时，涉及翻译、转译及信号退化的问题。 人类法律语言运作于一个语义宇宙之中：其中歧义往往具有建设性，时间性是开放的，解释具有制度性，而公平、平等、合理性和相称性等价值必然存在争议。相比之下，代码则通过日益受限的可执行区分语法来运作。随着向栈底深入，人们不仅是在实施法律，而是将法律意义置于一系列转换之中。 在这个过程中，人类规范性的可用空间不断收窄，允许的表达形式发生变化，而被规制的对象的本体论本身也被重塑。</w:t>
      </w:r>
      <w:r>
        <w:rPr>
          <w:rStyle w:val="FootnoteReference"/>
          <w:rFonts w:ascii="Times New Roman" w:hAnsi="Times New Roman" w:cs="Times New Roman"/>
        </w:rPr>
        <w:footnoteReference w:id="74"/>
      </w:r>
    </w:p>
    <w:p w:rsidRPr="00093AF0" w:rsidR="00093AF0" w:rsidP="00093AF0" w:rsidRDefault="00093AF0" w14:paraId="506442C1" w14:textId="77777777">
      <w:pPr>
        <w:rPr>
          <w:rFonts w:ascii="Times New Roman" w:hAnsi="Times New Roman" w:cs="Times New Roman"/>
        </w:rPr>
      </w:pPr>
    </w:p>
    <w:p w:rsidRPr="00093AF0" w:rsidR="00093AF0" w:rsidP="004E3A22" w:rsidRDefault="00093AF0" w14:paraId="3161D36F" w14:textId="77777777">
      <w:pPr>
        <w:ind w:firstLine="720"/>
        <w:rPr>
          <w:rFonts w:ascii="Times New Roman" w:hAnsi="Times New Roman" w:cs="Times New Roman"/>
        </w:rPr>
      </w:pPr>
      <w:r>
        <w:rPr>
          <w:rFonts w:ascii="Times New Roman" w:hAnsi="Times New Roman" w:cs="Times New Roman"/>
        </w:rPr>
        <w:t>这不仅体现在律师和工程师使用不同的专业方言这一简单概念上，更在于“法治”与“代码</w:t>
      </w:r>
      <w:r>
        <w:t>之</w:t>
      </w:r>
      <w:r>
        <w:rPr>
          <w:rFonts w:ascii="Times New Roman" w:hAnsi="Times New Roman" w:cs="Times New Roman"/>
        </w:rPr>
        <w:t>治”栖居于不同的认知宇宙，二者之间的联系依赖于不稳定的翻译行为。 在栈的顶端，人类行为者仍自认为在使用公共价值观的语言。然而在底层，系统已不再将公平、尊严或平等视为其本身。它只感知那些能在机器的运行语法中被转化为可执行指令的区分。在政策层面上呈现为原则的内容，在较低层级中逐渐被重构为指令或机器码，继而转化为操作，最终成为实体化的约束。</w:t>
      </w:r>
    </w:p>
    <w:p w:rsidRPr="00093AF0" w:rsidR="00093AF0" w:rsidP="00093AF0" w:rsidRDefault="00093AF0" w14:paraId="10F923B1" w14:textId="77777777">
      <w:pPr>
        <w:rPr>
          <w:rFonts w:ascii="Times New Roman" w:hAnsi="Times New Roman" w:cs="Times New Roman"/>
        </w:rPr>
      </w:pPr>
    </w:p>
    <w:p w:rsidRPr="00093AF0" w:rsidR="00093AF0" w:rsidP="004E3A22" w:rsidRDefault="00093AF0" w14:paraId="40DAF306" w14:textId="0ED691D7">
      <w:pPr>
        <w:ind w:firstLine="720"/>
        <w:rPr>
          <w:rFonts w:ascii="Times New Roman" w:hAnsi="Times New Roman" w:cs="Times New Roman"/>
        </w:rPr>
      </w:pPr>
      <w:r>
        <w:rPr>
          <w:rFonts w:ascii="Times New Roman" w:hAnsi="Times New Roman" w:cs="Times New Roman"/>
        </w:rPr>
        <w:t>其后果具有决定性意义。“代码</w:t>
      </w:r>
      <w:r>
        <w:rPr>
          <w:rFonts w:ascii="Times New Roman" w:hAnsi="Times New Roman" w:cs="Times New Roman"/>
        </w:rPr>
        <w:t>之</w:t>
      </w:r>
      <w:r>
        <w:rPr>
          <w:rFonts w:ascii="Times New Roman" w:hAnsi="Times New Roman" w:cs="Times New Roman"/>
        </w:rPr>
        <w:t>治”既不是法律的镜像，甚至也不是法律的顺从工具。它作为一个自主的、自我指涉的认知系统而运作，只有当人类赋予的法律意义被转化为符合其自身内在理性可读的形式后，该系统才会接受该意义。该系统依靠自身数据运行。 在区块链中，这绝非比喻，而是字面意义上的事实：每个新区块只有在遵循链上已记录的状态时才有效，因此系统自身先前的输出便成为了每个新输入的衡量标准</w:t>
      </w:r>
      <w:r>
        <w:rPr>
          <w:rFonts w:ascii="Times New Roman" w:hAnsi="Times New Roman" w:cs="Times New Roman"/>
        </w:rPr>
        <w:t xml:space="preserve">。</w:t>
      </w:r>
      <w:r>
        <w:rPr>
          <w:rStyle w:val="FootnoteReference"/>
          <w:rFonts w:ascii="Times New Roman" w:hAnsi="Times New Roman" w:cs="Times New Roman"/>
        </w:rPr>
        <w:footnoteReference w:id="75"/>
      </w:r>
      <w:r>
        <w:rPr>
          <w:rFonts w:ascii="Times New Roman" w:hAnsi="Times New Roman" w:cs="Times New Roman"/>
        </w:rPr>
        <w:t xml:space="preserve"> 当生成性系统进入这一循环时，这种自我指涉便呈现出一种阿谀奉承的特征，其产出的结果旨在取悦而非提供信息，且其运作方式已不再为人类所见</w:t>
      </w:r>
      <w:r>
        <w:rPr>
          <w:rFonts w:ascii="Times New Roman" w:hAnsi="Times New Roman" w:cs="Times New Roman"/>
        </w:rPr>
        <w:t xml:space="preserve">。</w:t>
      </w:r>
      <w:r>
        <w:rPr>
          <w:rStyle w:val="FootnoteReference"/>
          <w:rFonts w:ascii="Times New Roman" w:hAnsi="Times New Roman" w:cs="Times New Roman"/>
        </w:rPr>
        <w:footnoteReference w:id="76"/>
      </w:r>
      <w:r>
        <w:rPr>
          <w:rFonts w:ascii="Times New Roman" w:hAnsi="Times New Roman" w:cs="Times New Roman"/>
        </w:rPr>
        <w:t xml:space="preserve"> 用</w:t>
      </w:r>
      <w:r>
        <w:rPr>
          <w:rFonts w:ascii="Times New Roman" w:hAnsi="Times New Roman" w:cs="Times New Roman"/>
        </w:rPr>
        <w:t xml:space="preserve">卢曼式的</w:t>
      </w:r>
      <w:r>
        <w:rPr>
          <w:rFonts w:ascii="Times New Roman" w:hAnsi="Times New Roman" w:cs="Times New Roman"/>
        </w:rPr>
        <w:t>术语来说，“代码</w:t>
      </w:r>
      <w:r>
        <w:rPr>
          <w:rFonts w:ascii="Times New Roman" w:hAnsi="Times New Roman" w:cs="Times New Roman"/>
        </w:rPr>
        <w:t>之治</w:t>
      </w:r>
      <w:r>
        <w:rPr>
          <w:rFonts w:ascii="Times New Roman" w:hAnsi="Times New Roman" w:cs="Times New Roman"/>
        </w:rPr>
        <w:t>”趋近于一种</w:t>
      </w:r>
      <w:r>
        <w:rPr>
          <w:rFonts w:ascii="Times New Roman" w:hAnsi="Times New Roman" w:cs="Times New Roman"/>
          <w:i/>
          <w:iCs/>
        </w:rPr>
        <w:t>自</w:t>
      </w:r>
      <w:r>
        <w:rPr>
          <w:rFonts w:ascii="Times New Roman" w:hAnsi="Times New Roman" w:cs="Times New Roman"/>
        </w:rPr>
        <w:t>创生</w:t>
      </w:r>
      <w:r>
        <w:rPr>
          <w:rFonts w:ascii="Times New Roman" w:hAnsi="Times New Roman" w:cs="Times New Roman"/>
        </w:rPr>
        <w:t xml:space="preserve">且</w:t>
      </w:r>
      <w:r>
        <w:rPr>
          <w:rFonts w:ascii="Times New Roman" w:hAnsi="Times New Roman" w:cs="Times New Roman"/>
          <w:i/>
          <w:iCs/>
        </w:rPr>
        <w:t xml:space="preserve">运作封闭的</w:t>
      </w:r>
      <w:r>
        <w:rPr>
          <w:rFonts w:ascii="Times New Roman" w:hAnsi="Times New Roman" w:cs="Times New Roman"/>
        </w:rPr>
        <w:t xml:space="preserve">系统状态</w:t>
      </w:r>
      <w:r>
        <w:rPr>
          <w:rFonts w:ascii="Times New Roman" w:hAnsi="Times New Roman" w:cs="Times New Roman"/>
        </w:rPr>
        <w:t xml:space="preserve">，即该系统基于其自身的内部参照进行运作。</w:t>
      </w:r>
      <w:r>
        <w:rPr>
          <w:rStyle w:val="FootnoteReference"/>
          <w:rFonts w:ascii="Times New Roman" w:hAnsi="Times New Roman" w:cs="Times New Roman"/>
        </w:rPr>
        <w:footnoteReference w:id="77"/>
      </w:r>
      <w:r>
        <w:rPr>
          <w:rFonts w:ascii="Times New Roman" w:hAnsi="Times New Roman" w:cs="Times New Roman"/>
        </w:rPr>
        <w:t xml:space="preserve"> 然而，封闭性并不等同于孤立。对卢曼而言，运作封闭性是系统向环境开放的条件，而非其否定。 封闭系统无法</w:t>
      </w:r>
      <w:r>
        <w:rPr>
          <w:rFonts w:ascii="Times New Roman" w:hAnsi="Times New Roman" w:cs="Times New Roman"/>
        </w:rPr>
        <w:t xml:space="preserve">从外部</w:t>
      </w:r>
      <w:r>
        <w:rPr>
          <w:rFonts w:ascii="Times New Roman" w:hAnsi="Times New Roman" w:cs="Times New Roman"/>
        </w:rPr>
        <w:lastRenderedPageBreak/>
      </w:r>
      <w:r>
        <w:rPr>
          <w:rFonts w:ascii="Times New Roman" w:hAnsi="Times New Roman" w:cs="Times New Roman"/>
        </w:rPr>
        <w:t xml:space="preserve"> </w:t>
      </w:r>
      <w:r>
        <w:rPr>
          <w:rFonts w:ascii="Times New Roman" w:hAnsi="Times New Roman" w:cs="Times New Roman"/>
        </w:rPr>
        <w:t xml:space="preserve">受到指挥</w:t>
      </w:r>
      <w:r>
        <w:rPr>
          <w:rFonts w:ascii="Times New Roman" w:hAnsi="Times New Roman" w:cs="Times New Roman"/>
        </w:rPr>
        <w:t xml:space="preserve">，但可以受到刺激，而耦合正是在这些刺激点上成为可能的</w:t>
      </w:r>
      <w:r>
        <w:rPr>
          <w:rFonts w:ascii="Times New Roman" w:hAnsi="Times New Roman" w:cs="Times New Roman"/>
        </w:rPr>
        <w:t xml:space="preserve">。</w:t>
      </w:r>
      <w:r>
        <w:rPr>
          <w:rStyle w:val="FootnoteReference"/>
          <w:rFonts w:ascii="Times New Roman" w:hAnsi="Times New Roman" w:cs="Times New Roman"/>
        </w:rPr>
        <w:footnoteReference w:id="78"/>
      </w:r>
      <w:r>
        <w:rPr>
          <w:rFonts w:ascii="Times New Roman" w:hAnsi="Times New Roman" w:cs="Times New Roman"/>
        </w:rPr>
        <w:t xml:space="preserve"> 系统的沟通问题源于此，并非因为法律在抽象层面上缺乏权威，而是因为权威在向下传递时无法保持不变。向下传递的并非人类意图</w:t>
      </w:r>
      <w:r>
        <w:rPr>
          <w:rStyle w:val="FootnoteReference"/>
          <w:rFonts w:ascii="Times New Roman" w:hAnsi="Times New Roman" w:cs="Times New Roman"/>
        </w:rPr>
        <w:footnoteReference w:id="79"/>
      </w:r>
      <w:r>
        <w:rPr>
          <w:rFonts w:ascii="Times New Roman" w:hAnsi="Times New Roman" w:cs="Times New Roman"/>
        </w:rPr>
        <w:t xml:space="preserve"> 本身，而是</w:t>
      </w:r>
      <w:r>
        <w:rPr>
          <w:rFonts w:ascii="Times New Roman" w:hAnsi="Times New Roman" w:cs="Times New Roman"/>
        </w:rPr>
        <w:t xml:space="preserve">其模拟</w:t>
      </w:r>
      <w:r>
        <w:rPr>
          <w:rStyle w:val="FootnoteReference"/>
          <w:rFonts w:ascii="Times New Roman" w:hAnsi="Times New Roman" w:cs="Times New Roman"/>
        </w:rPr>
        <w:footnoteReference w:id="80"/>
      </w:r>
      <w:r>
        <w:rPr>
          <w:rFonts w:ascii="Times New Roman" w:hAnsi="Times New Roman" w:cs="Times New Roman"/>
        </w:rPr>
        <w:t xml:space="preserve"> ——一种由对人类的响应所呈现的模仿性迭代形态所代表的机器意图，这种形态既受人类输入的影响，也通过系统先前收集的数据而形成。</w:t>
      </w:r>
    </w:p>
    <w:p w:rsidRPr="00093AF0" w:rsidR="00093AF0" w:rsidP="00093AF0" w:rsidRDefault="00093AF0" w14:paraId="2AAA1016" w14:textId="77777777">
      <w:pPr>
        <w:rPr>
          <w:rFonts w:ascii="Times New Roman" w:hAnsi="Times New Roman" w:cs="Times New Roman"/>
        </w:rPr>
      </w:pPr>
    </w:p>
    <w:p w:rsidRPr="00093AF0" w:rsidR="00093AF0" w:rsidP="00093AF0" w:rsidRDefault="00093AF0" w14:paraId="5937ECD7" w14:textId="77777777">
      <w:pPr>
        <w:rPr>
          <w:rFonts w:ascii="Times New Roman" w:hAnsi="Times New Roman" w:cs="Times New Roman"/>
          <w:i/>
          <w:iCs/>
        </w:rPr>
      </w:pPr>
      <w:r>
        <w:rPr>
          <w:rFonts w:ascii="Times New Roman" w:hAnsi="Times New Roman" w:cs="Times New Roman"/>
          <w:i/>
          <w:iCs/>
        </w:rPr>
        <w:t xml:space="preserve">ii. 解构萨赫蛋糕的层次。</w:t>
      </w:r>
    </w:p>
    <w:p w:rsidRPr="00093AF0" w:rsidR="00093AF0" w:rsidP="004E3A22" w:rsidRDefault="00093AF0" w14:paraId="5185CD92" w14:textId="58A599B4">
      <w:pPr>
        <w:ind w:firstLine="720"/>
        <w:rPr>
          <w:rFonts w:ascii="Times New Roman" w:hAnsi="Times New Roman" w:cs="Times New Roman"/>
        </w:rPr>
      </w:pPr>
      <w:r>
        <w:t>为求</w:t>
      </w:r>
      <w:r>
        <w:rPr>
          <w:rFonts w:ascii="Times New Roman" w:hAnsi="Times New Roman" w:cs="Times New Roman"/>
        </w:rPr>
        <w:t>分析</w:t>
      </w:r>
      <w:r>
        <w:t>上的简洁</w:t>
      </w:r>
      <w:r>
        <w:rPr>
          <w:rFonts w:ascii="Times New Roman" w:hAnsi="Times New Roman" w:cs="Times New Roman"/>
        </w:rPr>
        <w:t>，</w:t>
      </w:r>
      <w:r>
        <w:t>这一</w:t>
      </w:r>
      <w:r>
        <w:rPr>
          <w:rFonts w:ascii="Times New Roman" w:hAnsi="Times New Roman" w:cs="Times New Roman"/>
        </w:rPr>
        <w:t>分层的沟通秩序被呈现为一个五层的萨赫蛋糕。这个数字是一种解释性的整合，而非工程规范。工程师可以更精细地绘制这个堆栈，而更精细的绘图只会增加翻译的节点，而非消除它们</w:t>
      </w:r>
      <w:r>
        <w:rPr>
          <w:rFonts w:ascii="Times New Roman" w:hAnsi="Times New Roman" w:cs="Times New Roman"/>
        </w:rPr>
        <w:t xml:space="preserve">。</w:t>
      </w:r>
      <w:r>
        <w:rPr>
          <w:rStyle w:val="FootnoteReference"/>
          <w:rFonts w:ascii="Times New Roman" w:hAnsi="Times New Roman" w:cs="Times New Roman"/>
        </w:rPr>
        <w:footnoteReference w:id="81"/>
      </w:r>
      <w:r>
        <w:rPr>
          <w:rFonts w:ascii="Times New Roman" w:hAnsi="Times New Roman" w:cs="Times New Roman"/>
        </w:rPr>
        <w:t xml:space="preserve"> 区分不同层级的关键，不在于其在编译流程中的位置，而在于两个相关的问题：谁还能读懂该层所使用的语言，以及这种语言还能承载何种意义。开篇所述的三种对齐关系正对应于这些层级。人际语言占据第一层；从人到机器语言的转换横跨第二层和第三层；机器间语言则主导第四层和第五层。 我们从人际语言层开始，先识别出蛋糕顶层的巧克力糖霜，然后才进入蛋糕主体。</w:t>
      </w:r>
    </w:p>
    <w:p w:rsidRPr="00093AF0" w:rsidR="00093AF0" w:rsidP="00093AF0" w:rsidRDefault="00093AF0" w14:paraId="152C2F3C" w14:textId="77777777">
      <w:pPr>
        <w:rPr>
          <w:rFonts w:ascii="Times New Roman" w:hAnsi="Times New Roman" w:cs="Times New Roman"/>
        </w:rPr>
      </w:pPr>
    </w:p>
    <w:p w:rsidRPr="00093AF0" w:rsidR="00093AF0" w:rsidP="004E3A22" w:rsidRDefault="00093AF0" w14:paraId="5B1CD86D" w14:textId="524F1020">
      <w:pPr>
        <w:ind w:firstLine="720"/>
        <w:rPr>
          <w:rFonts w:ascii="Times New Roman" w:hAnsi="Times New Roman" w:cs="Times New Roman"/>
        </w:rPr>
      </w:pPr>
      <w:r>
        <w:rPr>
          <w:rFonts w:ascii="Times New Roman" w:hAnsi="Times New Roman" w:cs="Times New Roman"/>
        </w:rPr>
        <w:t xml:space="preserve">第一层包含立法、监管、司法裁决、制度实践、政治文化以及社会期望的语言。在这个领域中，法律仍以最易被识别的人类形式呈现：文本、论证、原则、愿景、类比、叙事。这也是价值观在时间维度上仍具流动性的层级。 平等并非一个稳定的实体，而是一个能指，其社会和法律内涵随时间推移而漂移，以至于十八世纪和二十一世纪对同一术语的援引，可能蕴含着截然不同的规范世界。</w:t>
      </w:r>
      <w:r w:rsidR="00897E96">
        <w:rPr>
          <w:rStyle w:val="FootnoteReference"/>
          <w:rFonts w:ascii="Times New Roman" w:hAnsi="Times New Roman" w:cs="Times New Roman"/>
        </w:rPr>
        <w:footnoteReference w:id="82"/>
      </w:r>
      <w:r>
        <w:rPr>
          <w:rFonts w:ascii="Times New Roman" w:hAnsi="Times New Roman" w:cs="Times New Roman"/>
        </w:rPr>
        <w:t xml:space="preserve"> 正是这种流动性被代码所取代。莱西格认为，代码是当今的主要调节器，它通过硬编码的约束来塑造环境，而非依靠规范和国家权力的流动性。</w:t>
      </w:r>
      <w:r>
        <w:rPr>
          <w:rStyle w:val="FootnoteReference"/>
          <w:rFonts w:ascii="Times New Roman" w:hAnsi="Times New Roman" w:cs="Times New Roman"/>
        </w:rPr>
        <w:footnoteReference w:id="83"/>
      </w:r>
    </w:p>
    <w:p w:rsidRPr="00093AF0" w:rsidR="00093AF0" w:rsidP="00093AF0" w:rsidRDefault="00093AF0" w14:paraId="7CA7C04F" w14:textId="77777777">
      <w:pPr>
        <w:rPr>
          <w:rFonts w:ascii="Times New Roman" w:hAnsi="Times New Roman" w:cs="Times New Roman"/>
        </w:rPr>
      </w:pPr>
    </w:p>
    <w:p w:rsidRPr="00093AF0" w:rsidR="00093AF0" w:rsidP="004E3A22" w:rsidRDefault="00093AF0" w14:paraId="4A899A6C" w14:textId="1D1BFEAC">
      <w:pPr>
        <w:ind w:firstLine="720"/>
        <w:rPr>
          <w:rFonts w:ascii="Times New Roman" w:hAnsi="Times New Roman" w:cs="Times New Roman"/>
        </w:rPr>
      </w:pPr>
      <w:r>
        <w:rPr>
          <w:rFonts w:ascii="Times New Roman" w:hAnsi="Times New Roman" w:cs="Times New Roman"/>
        </w:rPr>
        <w:t xml:space="preserve">然而，在这个层面上，语言不仅仅是在描述一个世界，它更是在构筑一个世界。法律文本在最强意义上具有表演性：它们赋予合法性，规范认知，区分公共与私人、合法与非法、补救性与惩罚性。</w:t>
      </w:r>
      <w:r>
        <w:rPr>
          <w:rFonts w:ascii="Times New Roman" w:hAnsi="Times New Roman" w:cs="Times New Roman"/>
        </w:rPr>
        <w:t xml:space="preserve">希尔德布兰特将法律解释的</w:t>
      </w:r>
      <w:r>
        <w:rPr>
          <w:rFonts w:ascii="Times New Roman" w:hAnsi="Times New Roman" w:cs="Times New Roman"/>
        </w:rPr>
        <w:t xml:space="preserve">这种表演</w:t>
      </w:r>
      <w:r>
        <w:rPr>
          <w:rFonts w:ascii="Times New Roman" w:hAnsi="Times New Roman" w:cs="Times New Roman"/>
        </w:rPr>
        <w:t xml:space="preserve">性</w:t>
      </w:r>
      <w:r>
        <w:rPr>
          <w:rFonts w:ascii="Times New Roman" w:hAnsi="Times New Roman" w:cs="Times New Roman"/>
        </w:rPr>
        <w:lastRenderedPageBreak/>
      </w:r>
      <w:r>
        <w:rPr>
          <w:rFonts w:ascii="Times New Roman" w:hAnsi="Times New Roman" w:cs="Times New Roman"/>
        </w:rPr>
        <w:t xml:space="preserve"> 效果解释为一种“基于法律确定性、正义与工具性需求之间复杂互动”的力量</w:t>
      </w:r>
      <w:r>
        <w:rPr>
          <w:rFonts w:ascii="Times New Roman" w:hAnsi="Times New Roman" w:cs="Times New Roman"/>
        </w:rPr>
        <w:t xml:space="preserve">。</w:t>
      </w:r>
      <w:r>
        <w:rPr>
          <w:rStyle w:val="FootnoteReference"/>
          <w:rFonts w:ascii="Times New Roman" w:hAnsi="Times New Roman" w:cs="Times New Roman"/>
        </w:rPr>
        <w:footnoteReference w:id="84"/>
      </w:r>
      <w:r>
        <w:rPr>
          <w:rFonts w:ascii="Times New Roman" w:hAnsi="Times New Roman" w:cs="Times New Roman"/>
        </w:rPr>
        <w:t xml:space="preserve"> 然而，这一层面在某种程度上也是不确定的，这对其功能而言至关重要。它容忍模糊性，因为模糊性是普遍性的代价；它容忍矛盾，因为矛盾往往是多元社会协商共存的媒介；它容忍延迟，因为司法裁决和行政管理依赖于制度性解释。 用现象学术语来说，这是法规对象仍与生活意义及社会语境紧密相连的层面。用符号学术语来说，能指仍处于可被质疑的状态。正如巧克力糖衣可以流淌在蛋糕上并改变其形状和大小，人与人之间的这一层面也是如此。</w:t>
      </w:r>
    </w:p>
    <w:p w:rsidRPr="00093AF0" w:rsidR="00093AF0" w:rsidP="00093AF0" w:rsidRDefault="00093AF0" w14:paraId="1BF607AA" w14:textId="77777777">
      <w:pPr>
        <w:rPr>
          <w:rFonts w:ascii="Times New Roman" w:hAnsi="Times New Roman" w:cs="Times New Roman"/>
        </w:rPr>
      </w:pPr>
    </w:p>
    <w:p w:rsidRPr="00093AF0" w:rsidR="00093AF0" w:rsidP="004E3A22" w:rsidRDefault="00093AF0" w14:paraId="4890C3D9" w14:textId="190BBBF8">
      <w:pPr>
        <w:ind w:firstLine="720"/>
        <w:rPr>
          <w:rFonts w:ascii="Times New Roman" w:hAnsi="Times New Roman" w:cs="Times New Roman"/>
        </w:rPr>
      </w:pPr>
      <w:r>
        <w:rPr>
          <w:rFonts w:ascii="Times New Roman" w:hAnsi="Times New Roman" w:cs="Times New Roman"/>
        </w:rPr>
        <w:t xml:space="preserve">第二层是将政策转录为软件的区域。在此，价值观并未消失，但被迫采取了不同的形式。</w:t>
      </w:r>
      <w:r w:rsidR="00C86A00">
        <w:rPr>
          <w:rStyle w:val="FootnoteReference"/>
          <w:rFonts w:ascii="Times New Roman" w:hAnsi="Times New Roman" w:cs="Times New Roman"/>
        </w:rPr>
        <w:footnoteReference w:id="85"/>
      </w:r>
      <w:r>
        <w:rPr>
          <w:rFonts w:ascii="Times New Roman" w:hAnsi="Times New Roman" w:cs="Times New Roman"/>
        </w:rPr>
        <w:t xml:space="preserve"> 程序员必须决定，就系统设计而言，究竟什么才算作平等、合规、同意、授权或风险</w:t>
      </w:r>
      <w:r>
        <w:rPr>
          <w:rFonts w:ascii="Times New Roman" w:hAnsi="Times New Roman" w:cs="Times New Roman"/>
        </w:rPr>
        <w:t xml:space="preserve">。</w:t>
      </w:r>
      <w:r w:rsidR="00C86A00">
        <w:rPr>
          <w:rStyle w:val="FootnoteReference"/>
          <w:rFonts w:ascii="Times New Roman" w:hAnsi="Times New Roman" w:cs="Times New Roman"/>
        </w:rPr>
        <w:footnoteReference w:id="86"/>
      </w:r>
      <w:r>
        <w:rPr>
          <w:rFonts w:ascii="Times New Roman" w:hAnsi="Times New Roman" w:cs="Times New Roman"/>
        </w:rPr>
        <w:t xml:space="preserve"> 在从法律语言到源代码的转化过程中，抽象被转化为参数化</w:t>
      </w:r>
      <w:r>
        <w:rPr>
          <w:rFonts w:ascii="Times New Roman" w:hAnsi="Times New Roman" w:cs="Times New Roman"/>
        </w:rPr>
        <w:t xml:space="preserve">。</w:t>
      </w:r>
      <w:r w:rsidR="00C86A00">
        <w:rPr>
          <w:rStyle w:val="FootnoteReference"/>
          <w:rFonts w:ascii="Times New Roman" w:hAnsi="Times New Roman" w:cs="Times New Roman"/>
        </w:rPr>
        <w:footnoteReference w:id="87"/>
      </w:r>
      <w:r>
        <w:rPr>
          <w:rFonts w:ascii="Times New Roman" w:hAnsi="Times New Roman" w:cs="Times New Roman"/>
        </w:rPr>
        <w:t xml:space="preserve"> </w:t>
      </w:r>
      <w:r w:rsidR="007E10E9">
        <w:rPr>
          <w:rFonts w:ascii="Times New Roman" w:hAnsi="Times New Roman" w:cs="Times New Roman"/>
        </w:rPr>
        <w:t xml:space="preserve">从这个意义上说，</w:t>
      </w:r>
      <w:r w:rsidRPr="007E10E9" w:rsidR="007E10E9">
        <w:rPr>
          <w:rFonts w:ascii="Times New Roman" w:hAnsi="Times New Roman" w:cs="Times New Roman"/>
        </w:rPr>
        <w:t xml:space="preserve">参数化</w:t>
      </w:r>
      <w:r w:rsidR="007E10E9">
        <w:rPr>
          <w:rFonts w:ascii="Times New Roman" w:hAnsi="Times New Roman" w:cs="Times New Roman"/>
        </w:rPr>
        <w:t xml:space="preserve">可被理解为</w:t>
      </w:r>
      <w:r w:rsidRPr="007E10E9" w:rsidR="007E10E9">
        <w:rPr>
          <w:rFonts w:ascii="Times New Roman" w:hAnsi="Times New Roman" w:cs="Times New Roman"/>
        </w:rPr>
        <w:t xml:space="preserve">抽象规范命题在特定系统内获得确定性操作后果的节点。</w:t>
      </w:r>
      <w:r w:rsidR="007E10E9">
        <w:rPr>
          <w:rFonts w:ascii="Times New Roman" w:hAnsi="Times New Roman" w:cs="Times New Roman"/>
        </w:rPr>
        <w:t xml:space="preserve">这些前提会衍生出相应的后果：</w:t>
      </w:r>
      <w:r>
        <w:rPr>
          <w:rFonts w:ascii="Times New Roman" w:hAnsi="Times New Roman" w:cs="Times New Roman"/>
        </w:rPr>
        <w:t xml:space="preserve">公平成为一个阈值、访问规则、加权函数，或是许可与拒绝的逻辑门；平等成为一种比较程序；正当程序则成为工作流中一系列授权状态</w:t>
      </w:r>
      <w:r>
        <w:rPr>
          <w:rFonts w:ascii="Times New Roman" w:hAnsi="Times New Roman" w:cs="Times New Roman"/>
        </w:rPr>
        <w:t xml:space="preserve">。</w:t>
      </w:r>
      <w:r>
        <w:rPr>
          <w:rStyle w:val="FootnoteReference"/>
          <w:rFonts w:ascii="Times New Roman" w:hAnsi="Times New Roman" w:cs="Times New Roman"/>
        </w:rPr>
        <w:footnoteReference w:id="88"/>
      </w:r>
      <w:r>
        <w:rPr>
          <w:rFonts w:ascii="Times New Roman" w:hAnsi="Times New Roman" w:cs="Times New Roman"/>
        </w:rPr>
        <w:t xml:space="preserve"> 人类价值观唯有通过操作化才能存续</w:t>
      </w:r>
      <w:r w:rsidR="00C86A00">
        <w:rPr>
          <w:rFonts w:ascii="Times New Roman" w:hAnsi="Times New Roman" w:cs="Times New Roman"/>
        </w:rPr>
        <w:t xml:space="preserve">——即规则的模仿性与迭代性总和被转化为操作结构，从而在用户（无论用户是人类还是自动化决策系统的一部分）的交互中约束行为</w:t>
      </w:r>
      <w:r>
        <w:rPr>
          <w:rFonts w:ascii="Times New Roman" w:hAnsi="Times New Roman" w:cs="Times New Roman"/>
        </w:rPr>
        <w:t xml:space="preserve">。</w:t>
      </w:r>
      <w:r w:rsidR="00C86A00">
        <w:rPr>
          <w:rStyle w:val="FootnoteReference"/>
          <w:rFonts w:ascii="Times New Roman" w:hAnsi="Times New Roman" w:cs="Times New Roman"/>
        </w:rPr>
        <w:footnoteReference w:id="89"/>
      </w:r>
    </w:p>
    <w:p w:rsidRPr="00093AF0" w:rsidR="00093AF0" w:rsidP="00093AF0" w:rsidRDefault="00093AF0" w14:paraId="74B6336C" w14:textId="77777777">
      <w:pPr>
        <w:rPr>
          <w:rFonts w:ascii="Times New Roman" w:hAnsi="Times New Roman" w:cs="Times New Roman"/>
        </w:rPr>
      </w:pPr>
    </w:p>
    <w:p w:rsidRPr="00093AF0" w:rsidR="00093AF0" w:rsidP="004E3A22" w:rsidRDefault="00093AF0" w14:paraId="0CDF9D0A" w14:textId="30908EBC">
      <w:pPr>
        <w:ind w:firstLine="720"/>
        <w:rPr>
          <w:rFonts w:ascii="Times New Roman" w:hAnsi="Times New Roman" w:cs="Times New Roman"/>
        </w:rPr>
      </w:pPr>
      <w:r>
        <w:rPr>
          <w:rFonts w:ascii="Times New Roman" w:hAnsi="Times New Roman" w:cs="Times New Roman"/>
        </w:rPr>
        <w:t xml:space="preserve">人们可以发现，源代码是人类与虚拟智能沟通的人类可读媒介，但同时也应认识到，这并非虚拟智能最终用于自我沟通的语言</w:t>
      </w:r>
      <w:r>
        <w:rPr>
          <w:rFonts w:ascii="Times New Roman" w:hAnsi="Times New Roman" w:cs="Times New Roman"/>
        </w:rPr>
        <w:t xml:space="preserve">。</w:t>
      </w:r>
      <w:r w:rsidR="00897E96">
        <w:rPr>
          <w:rStyle w:val="FootnoteReference"/>
          <w:rFonts w:ascii="Times New Roman" w:hAnsi="Times New Roman" w:cs="Times New Roman"/>
        </w:rPr>
        <w:footnoteReference w:id="90"/>
      </w:r>
      <w:r>
        <w:rPr>
          <w:rFonts w:ascii="Times New Roman" w:hAnsi="Times New Roman" w:cs="Times New Roman"/>
        </w:rPr>
        <w:t xml:space="preserve"> 这一区别至关重要。源代码</w:t>
      </w:r>
      <w:r>
        <w:rPr>
          <w:rFonts w:ascii="Times New Roman" w:hAnsi="Times New Roman" w:cs="Times New Roman"/>
        </w:rPr>
        <w:lastRenderedPageBreak/>
      </w:r>
      <w:r>
        <w:rPr>
          <w:rFonts w:ascii="Times New Roman" w:hAnsi="Times New Roman" w:cs="Times New Roman"/>
        </w:rPr>
        <w:t xml:space="preserve"> 常被误认为是“代码</w:t>
      </w:r>
      <w:r>
        <w:t>之</w:t>
      </w:r>
      <w:r>
        <w:rPr>
          <w:rFonts w:ascii="Times New Roman" w:hAnsi="Times New Roman" w:cs="Times New Roman"/>
        </w:rPr>
        <w:t>治”的全部，因为它对人类而言是可见的。然而，这种可见性不应与主权相混淆。源代码仅仅是人类作者能够合理地设想自己掌握控制权的最后一层。</w:t>
      </w:r>
    </w:p>
    <w:p w:rsidRPr="00093AF0" w:rsidR="00093AF0" w:rsidP="00093AF0" w:rsidRDefault="00093AF0" w14:paraId="79984433" w14:textId="77777777">
      <w:pPr>
        <w:rPr>
          <w:rFonts w:ascii="Times New Roman" w:hAnsi="Times New Roman" w:cs="Times New Roman"/>
        </w:rPr>
      </w:pPr>
    </w:p>
    <w:p w:rsidRPr="00093AF0" w:rsidR="00093AF0" w:rsidP="004E3A22" w:rsidRDefault="00093AF0" w14:paraId="617D41E0" w14:textId="0A20827D">
      <w:pPr>
        <w:ind w:firstLine="720"/>
        <w:rPr>
          <w:rFonts w:ascii="Times New Roman" w:hAnsi="Times New Roman" w:cs="Times New Roman"/>
        </w:rPr>
      </w:pPr>
      <w:r>
        <w:rPr>
          <w:rFonts w:ascii="Times New Roman" w:hAnsi="Times New Roman" w:cs="Times New Roman"/>
        </w:rPr>
        <w:t xml:space="preserve">这也是“过于人性化”的元素最明显地渗入机器的层级。偏见、偏好、制度惯性、政治妥协以及隐含的假设，都沉淀进了程序的架构之中，而编码者往往对此并未完全意识到。这种转换绝非中立，因为每一次编码行为都需要进行取舍：必须选择什么被纳入考量、什么被忽略、什么可衡量、什么不可衡量。</w:t>
      </w:r>
    </w:p>
    <w:p w:rsidRPr="00093AF0" w:rsidR="00093AF0" w:rsidP="00093AF0" w:rsidRDefault="00093AF0" w14:paraId="1D551734" w14:textId="77777777">
      <w:pPr>
        <w:rPr>
          <w:rFonts w:ascii="Times New Roman" w:hAnsi="Times New Roman" w:cs="Times New Roman"/>
        </w:rPr>
      </w:pPr>
    </w:p>
    <w:p w:rsidRPr="00093AF0" w:rsidR="00093AF0" w:rsidP="004E3A22" w:rsidRDefault="00093AF0" w14:paraId="6467DDC9" w14:textId="60E5518D">
      <w:pPr>
        <w:ind w:firstLine="720"/>
        <w:rPr>
          <w:rFonts w:ascii="Times New Roman" w:hAnsi="Times New Roman" w:cs="Times New Roman"/>
        </w:rPr>
      </w:pPr>
      <w:r>
        <w:rPr>
          <w:rFonts w:ascii="Times New Roman" w:hAnsi="Times New Roman" w:cs="Times New Roman"/>
        </w:rPr>
        <w:t xml:space="preserve">第三层是首次进入不透明的深层。</w:t>
      </w:r>
      <w:r>
        <w:rPr>
          <w:rStyle w:val="FootnoteReference"/>
          <w:rFonts w:ascii="Times New Roman" w:hAnsi="Times New Roman" w:cs="Times New Roman"/>
        </w:rPr>
        <w:footnoteReference w:id="91"/>
      </w:r>
      <w:r>
        <w:rPr>
          <w:rFonts w:ascii="Times New Roman" w:hAnsi="Times New Roman" w:cs="Times New Roman"/>
        </w:rPr>
        <w:t xml:space="preserve"> 这是汇编指令、中间表示形式和字节码的领域，包括以太坊虚拟机字节码</w:t>
      </w:r>
      <w:r>
        <w:rPr>
          <w:rStyle w:val="FootnoteReference"/>
          <w:rFonts w:ascii="Times New Roman" w:hAnsi="Times New Roman" w:cs="Times New Roman"/>
        </w:rPr>
        <w:footnoteReference w:id="92"/>
      </w:r>
      <w:r>
        <w:rPr>
          <w:rFonts w:ascii="Times New Roman" w:hAnsi="Times New Roman" w:cs="Times New Roman"/>
        </w:rPr>
        <w:t xml:space="preserve"> </w:t>
      </w:r>
      <w:r>
        <w:rPr>
          <w:rFonts w:ascii="Times New Roman" w:hAnsi="Times New Roman" w:cs="Times New Roman"/>
        </w:rPr>
        <w:t xml:space="preserve">等特定环境的形式</w:t>
      </w:r>
      <w:r>
        <w:rPr>
          <w:rFonts w:ascii="Times New Roman" w:hAnsi="Times New Roman" w:cs="Times New Roman"/>
        </w:rPr>
        <w:t xml:space="preserve">。在这个层面上，人类可读性急剧下降，但尚未达到处理器自身的指令集。汇编代码和字节码成为一种机器可读的形式，只有具备专业技能的人类才能访问，而且只能部分访问，且难度越来越大</w:t>
      </w:r>
      <w:r>
        <w:rPr>
          <w:rFonts w:ascii="Times New Roman" w:hAnsi="Times New Roman" w:cs="Times New Roman"/>
        </w:rPr>
        <w:t xml:space="preserve">。</w:t>
      </w:r>
      <w:r>
        <w:rPr>
          <w:rStyle w:val="FootnoteReference"/>
          <w:rFonts w:ascii="Times New Roman" w:hAnsi="Times New Roman" w:cs="Times New Roman"/>
        </w:rPr>
        <w:footnoteReference w:id="93"/>
      </w:r>
      <w:r>
        <w:rPr>
          <w:rFonts w:ascii="Times New Roman" w:hAnsi="Times New Roman" w:cs="Times New Roman"/>
        </w:rPr>
        <w:t xml:space="preserve"> 对于智能合约而言，这一问题表现得更为突出。部署到以太坊式区块链并由其执行的其实是字节码，而非源代码。可读源代码的发布属于自愿行为，且其与已部署字节码的一致性必须通过重新编译来单独验证</w:t>
      </w:r>
      <w:r>
        <w:rPr>
          <w:rFonts w:ascii="Times New Roman" w:hAnsi="Times New Roman" w:cs="Times New Roman"/>
        </w:rPr>
        <w:t xml:space="preserve">。</w:t>
      </w:r>
      <w:r>
        <w:rPr>
          <w:rStyle w:val="FootnoteReference"/>
          <w:rFonts w:ascii="Times New Roman" w:hAnsi="Times New Roman" w:cs="Times New Roman"/>
        </w:rPr>
        <w:footnoteReference w:id="94"/>
      </w:r>
      <w:r>
        <w:rPr>
          <w:rFonts w:ascii="Times New Roman" w:hAnsi="Times New Roman" w:cs="Times New Roman"/>
        </w:rPr>
        <w:t xml:space="preserve"> 换言之，合约的权威文本是用人类通常无法直接阅读的第一种语言编写的。</w:t>
      </w:r>
    </w:p>
    <w:p w:rsidRPr="00093AF0" w:rsidR="00093AF0" w:rsidP="00093AF0" w:rsidRDefault="00093AF0" w14:paraId="7FB45530" w14:textId="77777777">
      <w:pPr>
        <w:rPr>
          <w:rFonts w:ascii="Times New Roman" w:hAnsi="Times New Roman" w:cs="Times New Roman"/>
        </w:rPr>
      </w:pPr>
    </w:p>
    <w:p w:rsidRPr="00093AF0" w:rsidR="00093AF0" w:rsidP="004E3A22" w:rsidRDefault="00093AF0" w14:paraId="4435053A" w14:textId="78573518">
      <w:pPr>
        <w:ind w:firstLine="720"/>
        <w:rPr>
          <w:rFonts w:ascii="Times New Roman" w:hAnsi="Times New Roman" w:cs="Times New Roman"/>
        </w:rPr>
      </w:pPr>
      <w:r>
        <w:rPr>
          <w:rFonts w:ascii="Times New Roman" w:hAnsi="Times New Roman" w:cs="Times New Roman"/>
        </w:rPr>
        <w:t xml:space="preserve">其意义既具有理论性，也具有技术性。这一层充当了筛选的场所。在此，翻译本身即是一种转化。 由人类编写的源代码被分解为低阶指令和控制结构，这些指令和控制结构在任何深层意义上都已不再保留代码所源自的规范性词汇。</w:t>
      </w:r>
      <w:r>
        <w:rPr>
          <w:rStyle w:val="FootnoteReference"/>
          <w:rFonts w:ascii="Times New Roman" w:hAnsi="Times New Roman" w:cs="Times New Roman"/>
        </w:rPr>
        <w:footnoteReference w:id="95"/>
      </w:r>
      <w:r>
        <w:rPr>
          <w:rFonts w:ascii="Times New Roman" w:hAnsi="Times New Roman" w:cs="Times New Roman"/>
        </w:rPr>
        <w:t xml:space="preserve"> 剩下的只有操作依赖关系、内存分配、</w:t>
      </w:r>
      <w:r>
        <w:rPr>
          <w:rFonts w:ascii="Times New Roman" w:hAnsi="Times New Roman" w:cs="Times New Roman"/>
        </w:rPr>
        <w:lastRenderedPageBreak/>
      </w:r>
      <w:r>
        <w:rPr>
          <w:rFonts w:ascii="Times New Roman" w:hAnsi="Times New Roman" w:cs="Times New Roman"/>
        </w:rPr>
        <w:t xml:space="preserve"> 跳转、调用、栈操作、操作码以及执行约束</w:t>
      </w:r>
      <w:r>
        <w:rPr>
          <w:rFonts w:ascii="Times New Roman" w:hAnsi="Times New Roman" w:cs="Times New Roman"/>
        </w:rPr>
        <w:t xml:space="preserve">。</w:t>
      </w:r>
      <w:r>
        <w:rPr>
          <w:rStyle w:val="FootnoteReference"/>
          <w:rFonts w:ascii="Times New Roman" w:hAnsi="Times New Roman" w:cs="Times New Roman"/>
        </w:rPr>
        <w:footnoteReference w:id="96"/>
      </w:r>
      <w:r>
        <w:rPr>
          <w:rFonts w:ascii="Times New Roman" w:hAnsi="Times New Roman" w:cs="Times New Roman"/>
        </w:rPr>
        <w:t xml:space="preserve"> 曾为上层注入活力的法律和政治语义，如今仅以冻结在结构中的痕迹形式间接地存续下来。</w:t>
      </w:r>
      <w:r>
        <w:rPr>
          <w:rStyle w:val="FootnoteReference"/>
          <w:rFonts w:ascii="Times New Roman" w:hAnsi="Times New Roman" w:cs="Times New Roman"/>
        </w:rPr>
        <w:footnoteReference w:id="97"/>
      </w:r>
    </w:p>
    <w:p w:rsidRPr="00093AF0" w:rsidR="00093AF0" w:rsidP="00093AF0" w:rsidRDefault="00093AF0" w14:paraId="41166666" w14:textId="77777777">
      <w:pPr>
        <w:rPr>
          <w:rFonts w:ascii="Times New Roman" w:hAnsi="Times New Roman" w:cs="Times New Roman"/>
        </w:rPr>
      </w:pPr>
    </w:p>
    <w:p w:rsidRPr="00093AF0" w:rsidR="00093AF0" w:rsidP="004E3A22" w:rsidRDefault="00093AF0" w14:paraId="13633937" w14:textId="49D50FFE">
      <w:pPr>
        <w:ind w:firstLine="720"/>
        <w:rPr>
          <w:rFonts w:ascii="Times New Roman" w:hAnsi="Times New Roman" w:cs="Times New Roman"/>
        </w:rPr>
      </w:pPr>
      <w:r>
        <w:rPr>
          <w:rFonts w:ascii="Times New Roman" w:hAnsi="Times New Roman" w:cs="Times New Roman"/>
        </w:rPr>
        <w:t xml:space="preserve">正因如此</w:t>
      </w:r>
      <w:r>
        <w:rPr>
          <w:rFonts w:ascii="Times New Roman" w:hAnsi="Times New Roman" w:cs="Times New Roman"/>
        </w:rPr>
        <w:t xml:space="preserve">，</w:t>
      </w:r>
      <w:r>
        <w:rPr>
          <w:rFonts w:ascii="Times New Roman" w:hAnsi="Times New Roman" w:cs="Times New Roman"/>
        </w:rPr>
        <w:t xml:space="preserve">翻译层可被视为真正符号学损失的最初时刻。</w:t>
      </w:r>
      <w:r>
        <w:rPr>
          <w:rStyle w:val="FootnoteReference"/>
          <w:rFonts w:ascii="Times New Roman" w:hAnsi="Times New Roman" w:cs="Times New Roman"/>
        </w:rPr>
        <w:footnoteReference w:id="98"/>
      </w:r>
      <w:r>
        <w:rPr>
          <w:rFonts w:ascii="Times New Roman" w:hAnsi="Times New Roman" w:cs="Times New Roman"/>
        </w:rPr>
        <w:t xml:space="preserve"> 当然，这并非完全的损失，但确实是一种决定性的削弱。所指并未消失，而是被转移到一种形式中，其指涉已无法通过普通人类的解读来获取。它已被转化为接近机器的形式，成为原版的模拟。</w:t>
      </w:r>
    </w:p>
    <w:p w:rsidRPr="00093AF0" w:rsidR="00093AF0" w:rsidP="00093AF0" w:rsidRDefault="00093AF0" w14:paraId="6096A482" w14:textId="77777777">
      <w:pPr>
        <w:rPr>
          <w:rFonts w:ascii="Times New Roman" w:hAnsi="Times New Roman" w:cs="Times New Roman"/>
        </w:rPr>
      </w:pPr>
    </w:p>
    <w:p w:rsidRPr="00093AF0" w:rsidR="00093AF0" w:rsidP="004E3A22" w:rsidRDefault="00093AF0" w14:paraId="0E31EB8B" w14:textId="77777777">
      <w:pPr>
        <w:ind w:firstLine="720"/>
        <w:rPr>
          <w:rFonts w:ascii="Times New Roman" w:hAnsi="Times New Roman" w:cs="Times New Roman"/>
        </w:rPr>
      </w:pPr>
      <w:r>
        <w:rPr>
          <w:rFonts w:ascii="Times New Roman" w:hAnsi="Times New Roman" w:cs="Times New Roman"/>
        </w:rPr>
        <w:t xml:space="preserve">在第四层，翻译让位于执行。这是机器码、目标码和可执行文件的领域，也是处理器接收二进制指令作为命令的空间。人类可以阅读源代码，但在实际意义上无法阅读机器码和目标码，而机器码是用于执行而非编程的。</w:t>
      </w:r>
    </w:p>
    <w:p w:rsidRPr="00093AF0" w:rsidR="00093AF0" w:rsidP="00093AF0" w:rsidRDefault="00093AF0" w14:paraId="2C25DE95" w14:textId="77777777">
      <w:pPr>
        <w:rPr>
          <w:rFonts w:ascii="Times New Roman" w:hAnsi="Times New Roman" w:cs="Times New Roman"/>
        </w:rPr>
      </w:pPr>
    </w:p>
    <w:p w:rsidRPr="00093AF0" w:rsidR="00093AF0" w:rsidP="004E3A22" w:rsidRDefault="00093AF0" w14:paraId="43D8BE9D" w14:textId="77777777">
      <w:pPr>
        <w:ind w:firstLine="720"/>
        <w:rPr>
          <w:rFonts w:ascii="Times New Roman" w:hAnsi="Times New Roman" w:cs="Times New Roman"/>
        </w:rPr>
      </w:pPr>
      <w:r>
        <w:rPr>
          <w:rFonts w:ascii="Times New Roman" w:hAnsi="Times New Roman" w:cs="Times New Roman"/>
        </w:rPr>
        <w:t>这一层面的法理学意义很容易被低估。 在此，“代码</w:t>
      </w:r>
      <w:r>
        <w:t>之治</w:t>
      </w:r>
      <w:r>
        <w:rPr>
          <w:rFonts w:ascii="Times New Roman" w:hAnsi="Times New Roman" w:cs="Times New Roman"/>
        </w:rPr>
        <w:t>”甚至不再在文本形式上与法律相似。它变成了事件。它不再主要是关于“应该发生什么”的陈述，而是采取了“实际发生什么”的启动形式，其条件取决于处理器的架构和机器的状态。在这个层面上，规范与其执行已无法区分。指令不再被解释，而是被执行。</w:t>
      </w:r>
    </w:p>
    <w:p w:rsidRPr="00093AF0" w:rsidR="00093AF0" w:rsidP="00093AF0" w:rsidRDefault="00093AF0" w14:paraId="6D15679F" w14:textId="77777777">
      <w:pPr>
        <w:rPr>
          <w:rFonts w:ascii="Times New Roman" w:hAnsi="Times New Roman" w:cs="Times New Roman"/>
        </w:rPr>
      </w:pPr>
    </w:p>
    <w:p w:rsidRPr="00093AF0" w:rsidR="00093AF0" w:rsidP="004E3A22" w:rsidRDefault="00093AF0" w14:paraId="69352FC0" w14:textId="587671E0">
      <w:pPr>
        <w:ind w:firstLine="720"/>
        <w:rPr>
          <w:rFonts w:ascii="Times New Roman" w:hAnsi="Times New Roman" w:cs="Times New Roman"/>
        </w:rPr>
      </w:pPr>
      <w:r>
        <w:rPr>
          <w:rFonts w:ascii="Times New Roman" w:hAnsi="Times New Roman" w:cs="Times New Roman"/>
        </w:rPr>
        <w:t xml:space="preserve">这正是区块链作为一种监管形式之所以如此具有吸引力的原因。如前所述，它似乎通过将规范与方法双双内化于代码本身，从而解决了法律合规的经典难题，进而实现了监管自动化，并将合规主体嵌入编程架构之中</w:t>
      </w:r>
      <w:r>
        <w:rPr>
          <w:rFonts w:ascii="Times New Roman" w:hAnsi="Times New Roman" w:cs="Times New Roman"/>
        </w:rPr>
        <w:t xml:space="preserve">。</w:t>
      </w:r>
      <w:r>
        <w:rPr>
          <w:rStyle w:val="FootnoteReference"/>
          <w:rFonts w:ascii="Times New Roman" w:hAnsi="Times New Roman" w:cs="Times New Roman"/>
        </w:rPr>
        <w:footnoteReference w:id="99"/>
      </w:r>
      <w:r>
        <w:rPr>
          <w:rFonts w:ascii="Times New Roman" w:hAnsi="Times New Roman" w:cs="Times New Roman"/>
        </w:rPr>
        <w:t xml:space="preserve"> 在执行层，这一愿景得以实质性实现。 规范不再作为受制裁支持的文本而独立于主体之外。它被内置于行动得以发生的条件之中。这种内置同样具有文本性，但人类已无法完整地读取其全部内容。</w:t>
      </w:r>
      <w:r>
        <w:rPr>
          <w:rStyle w:val="FootnoteReference"/>
          <w:rFonts w:ascii="Times New Roman" w:hAnsi="Times New Roman" w:cs="Times New Roman"/>
        </w:rPr>
        <w:footnoteReference w:id="100"/>
      </w:r>
    </w:p>
    <w:p w:rsidRPr="00093AF0" w:rsidR="00093AF0" w:rsidP="00093AF0" w:rsidRDefault="00093AF0" w14:paraId="3875D5A8" w14:textId="77777777">
      <w:pPr>
        <w:rPr>
          <w:rFonts w:ascii="Times New Roman" w:hAnsi="Times New Roman" w:cs="Times New Roman"/>
        </w:rPr>
      </w:pPr>
    </w:p>
    <w:p w:rsidRPr="00093AF0" w:rsidR="00093AF0" w:rsidP="004E3A22" w:rsidRDefault="00093AF0" w14:paraId="1B926001" w14:textId="323A1F85">
      <w:pPr>
        <w:ind w:firstLine="720"/>
        <w:rPr>
          <w:rFonts w:ascii="Times New Roman" w:hAnsi="Times New Roman" w:cs="Times New Roman"/>
        </w:rPr>
      </w:pPr>
      <w:r>
        <w:rPr>
          <w:rFonts w:ascii="Times New Roman" w:hAnsi="Times New Roman" w:cs="Times New Roman"/>
        </w:rPr>
        <w:t>最后</w:t>
      </w:r>
      <w:r>
        <w:t>，</w:t>
      </w:r>
      <w:r>
        <w:rPr>
          <w:rFonts w:ascii="Times New Roman" w:hAnsi="Times New Roman" w:cs="Times New Roman"/>
        </w:rPr>
        <w:t>第五层在物质层面上最具决定性，但在规范层面却最不显眼。在这里，人们会遇到微代码——许多处理器通过它将自身的指令转换为更细微的内部操作；而在微代码之下，则是电路本身的逻辑，即构成机器</w:t>
      </w:r>
      <w:r>
        <w:rPr>
          <w:rFonts w:ascii="Times New Roman" w:hAnsi="Times New Roman" w:cs="Times New Roman"/>
        </w:rPr>
        <w:t xml:space="preserve">可读性的</w:t>
      </w:r>
      <w:r>
        <w:rPr>
          <w:rFonts w:ascii="Times New Roman" w:hAnsi="Times New Roman" w:cs="Times New Roman"/>
        </w:rPr>
        <w:t xml:space="preserve">基础形式</w:t>
      </w:r>
      <w:r>
        <w:rPr>
          <w:rFonts w:ascii="Times New Roman" w:hAnsi="Times New Roman" w:cs="Times New Roman"/>
        </w:rPr>
        <w:lastRenderedPageBreak/>
      </w:r>
      <w:r>
        <w:rPr>
          <w:rFonts w:ascii="Times New Roman" w:hAnsi="Times New Roman" w:cs="Times New Roman"/>
        </w:rPr>
        <w:t xml:space="preserve"> </w:t>
      </w:r>
      <w:r>
        <w:rPr>
          <w:rFonts w:ascii="Times New Roman" w:hAnsi="Times New Roman" w:cs="Times New Roman"/>
        </w:rPr>
        <w:t xml:space="preserve">。</w:t>
      </w:r>
      <w:r>
        <w:rPr>
          <w:rStyle w:val="FootnoteReference"/>
          <w:rFonts w:ascii="Times New Roman" w:hAnsi="Times New Roman" w:cs="Times New Roman"/>
        </w:rPr>
        <w:footnoteReference w:id="101"/>
      </w:r>
      <w:r>
        <w:rPr>
          <w:rFonts w:ascii="Times New Roman" w:hAnsi="Times New Roman" w:cs="Times New Roman"/>
        </w:rPr>
        <w:t xml:space="preserve"> 这就是数字世界与物理架构交融的节点。</w:t>
      </w:r>
      <w:r w:rsidR="00757F44">
        <w:rPr>
          <w:rStyle w:val="FootnoteReference"/>
          <w:rFonts w:ascii="Times New Roman" w:hAnsi="Times New Roman" w:cs="Times New Roman"/>
        </w:rPr>
        <w:footnoteReference w:id="102"/>
      </w:r>
      <w:r>
        <w:rPr>
          <w:rFonts w:ascii="Times New Roman" w:hAnsi="Times New Roman" w:cs="Times New Roman"/>
        </w:rPr>
        <w:t xml:space="preserve"> 除了硬件单纯地执行命令之外，该命令现在还受到硬件作为一种“已被结构化的可能性领域”的制约。该领域本身也是被立法规定的</w:t>
      </w:r>
      <w:r>
        <w:rPr>
          <w:rFonts w:ascii="Times New Roman" w:hAnsi="Times New Roman" w:cs="Times New Roman"/>
        </w:rPr>
        <w:t xml:space="preserve">。</w:t>
      </w:r>
      <w:r w:rsidR="00757F44">
        <w:rPr>
          <w:rStyle w:val="FootnoteReference"/>
          <w:rFonts w:ascii="Times New Roman" w:hAnsi="Times New Roman" w:cs="Times New Roman"/>
        </w:rPr>
        <w:footnoteReference w:id="103"/>
      </w:r>
      <w:r>
        <w:rPr>
          <w:rFonts w:ascii="Times New Roman" w:hAnsi="Times New Roman" w:cs="Times New Roman"/>
        </w:rPr>
        <w:t xml:space="preserve"> 该电路是由人类工程师使用Verilog或VHDL等硬件描述语言编写，并在设计阶段编译到硅片中的，这远在任何合约被部署到该电路之上</w:t>
      </w:r>
      <w:r>
        <w:rPr>
          <w:rFonts w:ascii="Times New Roman" w:hAnsi="Times New Roman" w:cs="Times New Roman"/>
        </w:rPr>
        <w:t xml:space="preserve">之前。</w:t>
      </w:r>
      <w:r w:rsidR="00757F44">
        <w:rPr>
          <w:rStyle w:val="FootnoteReference"/>
          <w:rFonts w:ascii="Times New Roman" w:hAnsi="Times New Roman" w:cs="Times New Roman"/>
        </w:rPr>
        <w:footnoteReference w:id="104"/>
      </w:r>
      <w:r>
        <w:rPr>
          <w:rFonts w:ascii="Times New Roman" w:hAnsi="Times New Roman" w:cs="Times New Roman"/>
        </w:rPr>
        <w:t xml:space="preserve"> 从这个意义上说，处理器的指令集就是机器的宪法，它在任何程序运行之前就已经确立，且若要修改，也只能由其制造商进行。人类价值观可以触及这一层，但仅限于设计时刻，绝不会在执行时刻。</w:t>
      </w:r>
      <w:r w:rsidR="00757F44">
        <w:rPr>
          <w:rStyle w:val="FootnoteReference"/>
          <w:rFonts w:ascii="Times New Roman" w:hAnsi="Times New Roman" w:cs="Times New Roman"/>
        </w:rPr>
        <w:footnoteReference w:id="105"/>
      </w:r>
    </w:p>
    <w:p w:rsidRPr="00093AF0" w:rsidR="00093AF0" w:rsidP="00093AF0" w:rsidRDefault="00093AF0" w14:paraId="5979D543" w14:textId="77777777">
      <w:pPr>
        <w:rPr>
          <w:rFonts w:ascii="Times New Roman" w:hAnsi="Times New Roman" w:cs="Times New Roman"/>
        </w:rPr>
      </w:pPr>
    </w:p>
    <w:p w:rsidRPr="00093AF0" w:rsidR="00093AF0" w:rsidP="004E3A22" w:rsidRDefault="00093AF0" w14:paraId="31F74F72" w14:textId="02E2D977">
      <w:pPr>
        <w:ind w:firstLine="720"/>
        <w:rPr>
          <w:rFonts w:ascii="Times New Roman" w:hAnsi="Times New Roman" w:cs="Times New Roman"/>
        </w:rPr>
      </w:pPr>
      <w:r>
        <w:rPr>
          <w:rFonts w:ascii="Times New Roman" w:hAnsi="Times New Roman" w:cs="Times New Roman"/>
        </w:rPr>
        <w:t xml:space="preserve">在这个深度上，语言与物质之间的界限开始消融。发声的已不再是通常意义上的文本，而是具有模式化的电学可能性。规则变成了架构</w:t>
      </w:r>
      <w:r w:rsidR="0010181C">
        <w:rPr>
          <w:rFonts w:ascii="Times New Roman" w:hAnsi="Times New Roman" w:cs="Times New Roman"/>
        </w:rPr>
        <w:t xml:space="preserve">；</w:t>
      </w:r>
      <w:r>
        <w:rPr>
          <w:rStyle w:val="FootnoteReference"/>
          <w:rFonts w:ascii="Times New Roman" w:hAnsi="Times New Roman" w:cs="Times New Roman"/>
        </w:rPr>
        <w:footnoteReference w:id="106"/>
      </w:r>
      <w:r>
        <w:rPr>
          <w:rFonts w:ascii="Times New Roman" w:hAnsi="Times New Roman" w:cs="Times New Roman"/>
        </w:rPr>
        <w:t xml:space="preserve"> </w:t>
      </w:r>
      <w:r>
        <w:rPr>
          <w:rFonts w:ascii="Times New Roman" w:hAnsi="Times New Roman" w:cs="Times New Roman"/>
        </w:rPr>
        <w:t xml:space="preserve">约束变成了时序</w:t>
      </w:r>
      <w:r w:rsidR="0010181C">
        <w:rPr>
          <w:rFonts w:ascii="Times New Roman" w:hAnsi="Times New Roman" w:cs="Times New Roman"/>
        </w:rPr>
        <w:t xml:space="preserve">；</w:t>
      </w:r>
      <w:r w:rsidR="00FB5C64">
        <w:rPr>
          <w:rStyle w:val="FootnoteReference"/>
          <w:rFonts w:ascii="Times New Roman" w:hAnsi="Times New Roman" w:cs="Times New Roman"/>
        </w:rPr>
        <w:footnoteReference w:id="107"/>
      </w:r>
      <w:r>
        <w:rPr>
          <w:rFonts w:ascii="Times New Roman" w:hAnsi="Times New Roman" w:cs="Times New Roman"/>
        </w:rPr>
        <w:t xml:space="preserve"> </w:t>
      </w:r>
      <w:r w:rsidR="0010181C">
        <w:rPr>
          <w:rFonts w:ascii="Times New Roman" w:hAnsi="Times New Roman" w:cs="Times New Roman"/>
        </w:rPr>
        <w:t xml:space="preserve">“寄存器”（即所应用的透镜、框架或抽象层次）变成了</w:t>
      </w:r>
      <w:r>
        <w:rPr>
          <w:rFonts w:ascii="Times New Roman" w:hAnsi="Times New Roman" w:cs="Times New Roman"/>
        </w:rPr>
        <w:t xml:space="preserve">位宽</w:t>
      </w:r>
      <w:r w:rsidR="0010181C">
        <w:rPr>
          <w:rFonts w:ascii="Times New Roman" w:hAnsi="Times New Roman" w:cs="Times New Roman"/>
        </w:rPr>
        <w:t xml:space="preserve">；</w:t>
      </w:r>
      <w:r w:rsidR="00FB5C64">
        <w:rPr>
          <w:rStyle w:val="FootnoteReference"/>
          <w:rFonts w:ascii="Times New Roman" w:hAnsi="Times New Roman" w:cs="Times New Roman"/>
        </w:rPr>
        <w:footnoteReference w:id="108"/>
      </w:r>
      <w:r>
        <w:rPr>
          <w:rFonts w:ascii="Times New Roman" w:hAnsi="Times New Roman" w:cs="Times New Roman"/>
        </w:rPr>
        <w:t xml:space="preserve"> 内存</w:t>
      </w:r>
      <w:r w:rsidR="0010181C">
        <w:rPr>
          <w:rFonts w:ascii="Times New Roman" w:hAnsi="Times New Roman" w:cs="Times New Roman"/>
        </w:rPr>
        <w:t xml:space="preserve">变成了</w:t>
      </w:r>
      <w:r>
        <w:rPr>
          <w:rFonts w:ascii="Times New Roman" w:hAnsi="Times New Roman" w:cs="Times New Roman"/>
        </w:rPr>
        <w:t xml:space="preserve">访问</w:t>
      </w:r>
      <w:r w:rsidR="0010181C">
        <w:rPr>
          <w:rFonts w:ascii="Times New Roman" w:hAnsi="Times New Roman" w:cs="Times New Roman"/>
        </w:rPr>
        <w:t xml:space="preserve">；</w:t>
      </w:r>
      <w:r w:rsidR="00FB5C64">
        <w:rPr>
          <w:rStyle w:val="FootnoteReference"/>
          <w:rFonts w:ascii="Times New Roman" w:hAnsi="Times New Roman" w:cs="Times New Roman"/>
        </w:rPr>
        <w:footnoteReference w:id="109"/>
      </w:r>
      <w:r w:rsidR="0010181C">
        <w:rPr>
          <w:rFonts w:ascii="Times New Roman" w:hAnsi="Times New Roman" w:cs="Times New Roman"/>
        </w:rPr>
        <w:t xml:space="preserve"> </w:t>
      </w:r>
      <w:r>
        <w:rPr>
          <w:rFonts w:ascii="Times New Roman" w:hAnsi="Times New Roman" w:cs="Times New Roman"/>
        </w:rPr>
        <w:t xml:space="preserve">指令</w:t>
      </w:r>
      <w:r w:rsidR="0010181C">
        <w:rPr>
          <w:rFonts w:ascii="Times New Roman" w:hAnsi="Times New Roman" w:cs="Times New Roman"/>
        </w:rPr>
        <w:t xml:space="preserve">变成了</w:t>
      </w:r>
      <w:r>
        <w:t>指令</w:t>
      </w:r>
      <w:r>
        <w:rPr>
          <w:rFonts w:ascii="Times New Roman" w:hAnsi="Times New Roman" w:cs="Times New Roman"/>
        </w:rPr>
        <w:t xml:space="preserve">集设计、总线行为以及服务器或节点的物理功能。</w:t>
      </w:r>
      <w:r w:rsidR="001377A8">
        <w:rPr>
          <w:rStyle w:val="FootnoteReference"/>
          <w:rFonts w:ascii="Times New Roman" w:hAnsi="Times New Roman" w:cs="Times New Roman"/>
        </w:rPr>
        <w:footnoteReference w:id="110"/>
      </w:r>
      <w:r>
        <w:rPr>
          <w:rFonts w:ascii="Times New Roman" w:hAnsi="Times New Roman" w:cs="Times New Roman"/>
        </w:rPr>
        <w:t xml:space="preserve"> 因此，数字世界并非悬浮于物质之上，而是通过物质得以具象化。</w:t>
      </w:r>
      <w:r w:rsidR="00FB5C64">
        <w:rPr>
          <w:rStyle w:val="FootnoteReference"/>
          <w:rFonts w:ascii="Times New Roman" w:hAnsi="Times New Roman" w:cs="Times New Roman"/>
        </w:rPr>
        <w:footnoteReference w:id="111"/>
      </w:r>
    </w:p>
    <w:p w:rsidRPr="00093AF0" w:rsidR="00093AF0" w:rsidP="00093AF0" w:rsidRDefault="00093AF0" w14:paraId="77AF95A9" w14:textId="77777777">
      <w:pPr>
        <w:rPr>
          <w:rFonts w:ascii="Times New Roman" w:hAnsi="Times New Roman" w:cs="Times New Roman"/>
        </w:rPr>
      </w:pPr>
    </w:p>
    <w:p w:rsidRPr="00093AF0" w:rsidR="00093AF0" w:rsidP="004E3A22" w:rsidRDefault="00093AF0" w14:paraId="260D7F04" w14:textId="22D290BC">
      <w:pPr>
        <w:ind w:firstLine="720"/>
        <w:rPr>
          <w:rFonts w:ascii="Times New Roman" w:hAnsi="Times New Roman" w:cs="Times New Roman"/>
        </w:rPr>
      </w:pPr>
      <w:r>
        <w:rPr>
          <w:rFonts w:ascii="Times New Roman" w:hAnsi="Times New Roman" w:cs="Times New Roman"/>
        </w:rPr>
        <w:t xml:space="preserve">这也是最漠视人类法律诉求的层级。没有任何处理器会认可公平，没有任何门阵列会因平等而动容。对机器而言，“合理使用”等概念根本不存在，所有人类的解读都被剔除</w:t>
      </w:r>
      <w:r>
        <w:rPr>
          <w:rFonts w:ascii="Times New Roman" w:hAnsi="Times New Roman" w:cs="Times New Roman"/>
        </w:rPr>
        <w:t xml:space="preserve">。</w:t>
      </w:r>
      <w:r>
        <w:rPr>
          <w:rStyle w:val="FootnoteReference"/>
          <w:rFonts w:ascii="Times New Roman" w:hAnsi="Times New Roman" w:cs="Times New Roman"/>
        </w:rPr>
        <w:footnoteReference w:id="112"/>
      </w:r>
      <w:r>
        <w:rPr>
          <w:rFonts w:ascii="Times New Roman" w:hAnsi="Times New Roman" w:cs="Times New Roman"/>
        </w:rPr>
        <w:t xml:space="preserve"> 政策层中任何得以存续的内容</w:t>
      </w:r>
      <w:r>
        <w:rPr>
          <w:rFonts w:ascii="Times New Roman" w:hAnsi="Times New Roman" w:cs="Times New Roman"/>
        </w:rPr>
        <w:t xml:space="preserve">，</w:t>
      </w:r>
      <w:r>
        <w:rPr>
          <w:rFonts w:ascii="Times New Roman" w:hAnsi="Times New Roman" w:cs="Times New Roman"/>
        </w:rPr>
        <w:t xml:space="preserve">也仅在被重构为物理可执行的差异时才得以存续。 换言之，人类的法律意义只有在丧失了其原始形式后，才能抵达硬件层。</w:t>
      </w:r>
    </w:p>
    <w:p w:rsidRPr="00093AF0" w:rsidR="00093AF0" w:rsidP="00093AF0" w:rsidRDefault="00093AF0" w14:paraId="6ECE716D" w14:textId="77777777">
      <w:pPr>
        <w:rPr>
          <w:rFonts w:ascii="Times New Roman" w:hAnsi="Times New Roman" w:cs="Times New Roman"/>
        </w:rPr>
      </w:pPr>
    </w:p>
    <w:p w:rsidR="003D5A83" w:rsidRDefault="00000000" w14:paraId="27643C76" w14:textId="38AA0593">
      <w:pPr>
        <w:ind w:firstLine="720"/>
        <w:rPr>
          <w:rFonts w:ascii="Times New Roman" w:hAnsi="Times New Roman" w:cs="Times New Roman"/>
        </w:rPr>
      </w:pPr>
      <w:r>
        <w:rPr>
          <w:rFonts w:ascii="Times New Roman" w:hAnsi="Times New Roman" w:cs="Times New Roman"/>
        </w:rPr>
        <w:t xml:space="preserve">区块链的一个要素完全置身于这一垂直传递过程之外。区块链并非一块萨赫蛋糕，而是许多完全相同的蛋糕，在每个节点上都被复制，而共识协议正是这些副本确认它们仍然是同一块蛋糕的手段</w:t>
      </w:r>
      <w:r w:rsidR="008628B0">
        <w:rPr>
          <w:rFonts w:ascii="Times New Roman" w:hAnsi="Times New Roman" w:cs="Times New Roman"/>
        </w:rPr>
        <w:t xml:space="preserve">。从这个意义上说，它们是对行为与行动的记忆，既具有模仿性，又具有迭代性。  </w:t>
      </w:r>
      <w:r>
        <w:rPr>
          <w:rFonts w:ascii="Times New Roman" w:hAnsi="Times New Roman" w:cs="Times New Roman"/>
        </w:rPr>
        <w:t xml:space="preserve"> 工作量证明、权益证明以及拜占庭容错协议以不同的方式实现这一功能，也以不同的方式失败——从被多数算力控制到验证者卡特尔的串通</w:t>
      </w:r>
      <w:r>
        <w:rPr>
          <w:rFonts w:ascii="Times New Roman" w:hAnsi="Times New Roman" w:cs="Times New Roman"/>
        </w:rPr>
        <w:t xml:space="preserve">。</w:t>
      </w:r>
      <w:r>
        <w:rPr>
          <w:rStyle w:val="FootnoteReference"/>
          <w:rFonts w:ascii="Times New Roman" w:hAnsi="Times New Roman" w:cs="Times New Roman"/>
        </w:rPr>
        <w:footnoteReference w:id="113"/>
      </w:r>
      <w:r>
        <w:rPr>
          <w:rFonts w:ascii="Times New Roman" w:hAnsi="Times New Roman" w:cs="Times New Roman"/>
        </w:rPr>
        <w:t xml:space="preserve"> 这一水平层才是广受赞誉的账本不可变性真正所在之处。不可变性并非任何单一代码层的属性。 它是通过副本之间的共识来维持的一种状态，其基础是加密学假设</w:t>
      </w:r>
      <w:r>
        <w:rPr>
          <w:rFonts w:ascii="Times New Roman" w:hAnsi="Times New Roman" w:cs="Times New Roman"/>
        </w:rPr>
        <w:t xml:space="preserve">——而</w:t>
      </w:r>
      <w:r>
        <w:rPr>
          <w:rFonts w:ascii="Times New Roman" w:hAnsi="Times New Roman" w:cs="Times New Roman"/>
        </w:rPr>
        <w:t xml:space="preserve">这些假设本身也是受时间限制的，</w:t>
      </w:r>
      <w:r>
        <w:rPr>
          <w:rStyle w:val="FootnoteReference"/>
          <w:rFonts w:ascii="Times New Roman" w:hAnsi="Times New Roman" w:cs="Times New Roman"/>
        </w:rPr>
        <w:footnoteReference w:id="114"/>
      </w:r>
      <w:r>
        <w:rPr>
          <w:rFonts w:ascii="Times New Roman" w:hAnsi="Times New Roman" w:cs="Times New Roman"/>
        </w:rPr>
        <w:t xml:space="preserve"> 共识所能维持的，也能被共识所中止。当以太坊社区在2016年通过硬分叉来逆转DAO漏洞的影响时，“代码</w:t>
      </w:r>
      <w:r>
        <w:t>之治</w:t>
      </w:r>
      <w:r>
        <w:rPr>
          <w:rFonts w:ascii="Times New Roman" w:hAnsi="Times New Roman" w:cs="Times New Roman"/>
        </w:rPr>
        <w:t>”并未失败。它是在耦合点上被推翻的——由节点运营商决定是否运行新软件，而那些拒绝运行的人则延续了原有的链，形成了以太坊经典</w:t>
      </w:r>
      <w:r>
        <w:rPr>
          <w:rFonts w:ascii="Times New Roman" w:hAnsi="Times New Roman" w:cs="Times New Roman"/>
        </w:rPr>
        <w:t xml:space="preserve">。</w:t>
      </w:r>
      <w:r>
        <w:rPr>
          <w:rStyle w:val="FootnoteReference"/>
          <w:rFonts w:ascii="Times New Roman" w:hAnsi="Times New Roman" w:cs="Times New Roman"/>
        </w:rPr>
        <w:footnoteReference w:id="115"/>
      </w:r>
      <w:r>
        <w:rPr>
          <w:rFonts w:ascii="Times New Roman" w:hAnsi="Times New Roman" w:cs="Times New Roman"/>
        </w:rPr>
        <w:t xml:space="preserve"> </w:t>
      </w:r>
      <w:r w:rsidR="008628B0">
        <w:rPr>
          <w:rFonts w:ascii="Times New Roman" w:hAnsi="Times New Roman" w:cs="Times New Roman"/>
        </w:rPr>
        <w:t xml:space="preserve">链的核心——时间性——并未被抛弃，而是被重新导向。 区块链中的死胡同暗示着现象学上活跃运动的终结，而非其消亡。无法被看见并不意味着它不存在——相反，遮蔽与阻塞暗示的是可及性，而非事实性。历史链或许会被重新路由，但历史无法被改变。</w:t>
      </w:r>
      <w:r>
        <w:rPr>
          <w:rFonts w:ascii="Times New Roman" w:hAnsi="Times New Roman" w:cs="Times New Roman"/>
        </w:rPr>
        <w:t xml:space="preserve">这一事件或许是本部分后续论述中所展开论点最清晰的例证。</w:t>
      </w:r>
    </w:p>
    <w:p w:rsidR="003D5A83" w:rsidRDefault="003D5A83" w14:paraId="5558C59F" w14:textId="77777777">
      <w:pPr>
        <w:rPr>
          <w:rFonts w:ascii="Times New Roman" w:hAnsi="Times New Roman" w:cs="Times New Roman"/>
        </w:rPr>
      </w:pPr>
    </w:p>
    <w:p w:rsidRPr="00093AF0" w:rsidR="00093AF0" w:rsidP="00093AF0" w:rsidRDefault="00093AF0" w14:paraId="00E24C8D" w14:textId="4706CE7A">
      <w:pPr>
        <w:rPr>
          <w:rFonts w:ascii="Times New Roman" w:hAnsi="Times New Roman" w:cs="Times New Roman"/>
          <w:i/>
          <w:iCs/>
        </w:rPr>
      </w:pPr>
      <w:r>
        <w:rPr>
          <w:rFonts w:ascii="Times New Roman" w:hAnsi="Times New Roman" w:cs="Times New Roman"/>
          <w:i/>
          <w:iCs/>
        </w:rPr>
        <w:t xml:space="preserve">iii. 编译器的“果冻”与翻译中的损失</w:t>
      </w:r>
    </w:p>
    <w:p w:rsidRPr="00093AF0" w:rsidR="00093AF0" w:rsidP="004E3A22" w:rsidRDefault="00093AF0" w14:paraId="049F6AB5" w14:textId="197914A3">
      <w:pPr>
        <w:ind w:firstLine="720"/>
        <w:rPr>
          <w:rFonts w:ascii="Times New Roman" w:hAnsi="Times New Roman" w:cs="Times New Roman"/>
        </w:rPr>
      </w:pPr>
      <w:r>
        <w:rPr>
          <w:rFonts w:ascii="Times New Roman" w:hAnsi="Times New Roman" w:cs="Times New Roman"/>
        </w:rPr>
        <w:lastRenderedPageBreak/>
      </w:r>
      <w:r>
        <w:rPr>
          <w:rFonts w:ascii="Times New Roman" w:hAnsi="Times New Roman" w:cs="Times New Roman"/>
        </w:rPr>
        <w:t>在这几层之间，是萨赫蛋糕的“果</w:t>
      </w:r>
      <w:r>
        <w:t>酱</w:t>
      </w:r>
      <w:r>
        <w:rPr>
          <w:rFonts w:ascii="Times New Roman" w:hAnsi="Times New Roman" w:cs="Times New Roman"/>
        </w:rPr>
        <w:t>层”：编译器、解释器、汇编器、虚拟机、运行时环境、链接器以及接口标准</w:t>
      </w:r>
      <w:r>
        <w:rPr>
          <w:rFonts w:ascii="Times New Roman" w:hAnsi="Times New Roman" w:cs="Times New Roman"/>
        </w:rPr>
        <w:t xml:space="preserve">。</w:t>
      </w:r>
      <w:r>
        <w:rPr>
          <w:rStyle w:val="FootnoteReference"/>
          <w:rFonts w:ascii="Times New Roman" w:hAnsi="Times New Roman" w:cs="Times New Roman"/>
        </w:rPr>
        <w:footnoteReference w:id="116"/>
      </w:r>
      <w:r>
        <w:rPr>
          <w:rFonts w:ascii="Times New Roman" w:hAnsi="Times New Roman" w:cs="Times New Roman"/>
        </w:rPr>
        <w:t xml:space="preserve"> 这一“果</w:t>
      </w:r>
      <w:r>
        <w:t>酱</w:t>
      </w:r>
      <w:r>
        <w:rPr>
          <w:rFonts w:ascii="Times New Roman" w:hAnsi="Times New Roman" w:cs="Times New Roman"/>
        </w:rPr>
        <w:t>层”充当了连接密集语言规制层的媒介，它不仅将各层连接起来，还起到吸收、过滤和转化的作用。</w:t>
      </w:r>
      <w:r>
        <w:rPr>
          <w:rStyle w:val="FootnoteReference"/>
          <w:rFonts w:ascii="Times New Roman" w:hAnsi="Times New Roman" w:cs="Times New Roman"/>
        </w:rPr>
        <w:footnoteReference w:id="117"/>
      </w:r>
    </w:p>
    <w:p w:rsidRPr="00093AF0" w:rsidR="00093AF0" w:rsidP="00093AF0" w:rsidRDefault="00093AF0" w14:paraId="72CD5F0B" w14:textId="77777777">
      <w:pPr>
        <w:rPr>
          <w:rFonts w:ascii="Times New Roman" w:hAnsi="Times New Roman" w:cs="Times New Roman"/>
        </w:rPr>
      </w:pPr>
    </w:p>
    <w:p w:rsidRPr="00093AF0" w:rsidR="00093AF0" w:rsidP="004E3A22" w:rsidRDefault="00093AF0" w14:paraId="4BC424A9" w14:textId="0E9A4890">
      <w:pPr>
        <w:ind w:firstLine="720"/>
        <w:rPr>
          <w:rFonts w:ascii="Times New Roman" w:hAnsi="Times New Roman" w:cs="Times New Roman"/>
        </w:rPr>
      </w:pPr>
      <w:r>
        <w:rPr>
          <w:rFonts w:ascii="Times New Roman" w:hAnsi="Times New Roman" w:cs="Times New Roman"/>
        </w:rPr>
        <w:t xml:space="preserve">标准的法律想象往往将这些中介机制视为中立的通道。这种观点是站不住脚的。编译器既不保留意图，也不假装保留。</w:t>
      </w:r>
      <w:r>
        <w:rPr>
          <w:rStyle w:val="FootnoteReference"/>
          <w:rFonts w:ascii="Times New Roman" w:hAnsi="Times New Roman" w:cs="Times New Roman"/>
        </w:rPr>
        <w:footnoteReference w:id="118"/>
      </w:r>
      <w:r>
        <w:rPr>
          <w:rFonts w:ascii="Times New Roman" w:hAnsi="Times New Roman" w:cs="Times New Roman"/>
        </w:rPr>
        <w:t xml:space="preserve"> 编译器所保留的是语言规范赋予程序的意义，这未必是作者心中所想的意义。当二者出现分歧时，规范具有决定权，而编译器则在规范所编码的特权偏见体系内优化可执行性</w:t>
      </w:r>
      <w:r>
        <w:rPr>
          <w:rFonts w:ascii="Times New Roman" w:hAnsi="Times New Roman" w:cs="Times New Roman"/>
        </w:rPr>
        <w:t xml:space="preserve">。</w:t>
      </w:r>
      <w:r>
        <w:rPr>
          <w:rStyle w:val="FootnoteReference"/>
          <w:rFonts w:ascii="Times New Roman" w:hAnsi="Times New Roman" w:cs="Times New Roman"/>
        </w:rPr>
        <w:footnoteReference w:id="119"/>
      </w:r>
      <w:r>
        <w:rPr>
          <w:rFonts w:ascii="Times New Roman" w:hAnsi="Times New Roman" w:cs="Times New Roman"/>
        </w:rPr>
        <w:t xml:space="preserve"> 解释器并不保障规范上的细微差别，而是根据目标环境的逻辑强制执行语义收窄。</w:t>
      </w:r>
      <w:r>
        <w:rPr>
          <w:rStyle w:val="FootnoteReference"/>
          <w:rFonts w:ascii="Times New Roman" w:hAnsi="Times New Roman" w:cs="Times New Roman"/>
        </w:rPr>
        <w:footnoteReference w:id="120"/>
      </w:r>
      <w:r>
        <w:rPr>
          <w:rFonts w:ascii="Times New Roman" w:hAnsi="Times New Roman" w:cs="Times New Roman"/>
        </w:rPr>
        <w:t xml:space="preserve"> </w:t>
      </w:r>
      <w:r w:rsidR="00CB2BB7">
        <w:rPr>
          <w:rFonts w:ascii="Times New Roman" w:hAnsi="Times New Roman" w:cs="Times New Roman"/>
        </w:rPr>
        <w:t xml:space="preserve">因此，人们所遇到的差异源于解释的来源及其自身的认知牢笼，而非文本本身</w:t>
      </w:r>
      <w:r>
        <w:rPr>
          <w:rFonts w:ascii="Times New Roman" w:hAnsi="Times New Roman" w:cs="Times New Roman"/>
        </w:rPr>
        <w:t xml:space="preserve">。协议并不真实地承载价值，而是将通信限制在能够产生互操作效果的约定格式内</w:t>
      </w:r>
      <w:r>
        <w:rPr>
          <w:rFonts w:ascii="Times New Roman" w:hAnsi="Times New Roman" w:cs="Times New Roman"/>
        </w:rPr>
        <w:t xml:space="preserve">。</w:t>
      </w:r>
      <w:r>
        <w:rPr>
          <w:rStyle w:val="FootnoteReference"/>
          <w:rFonts w:ascii="Times New Roman" w:hAnsi="Times New Roman" w:cs="Times New Roman"/>
        </w:rPr>
        <w:footnoteReference w:id="121"/>
      </w:r>
      <w:r>
        <w:rPr>
          <w:rFonts w:ascii="Times New Roman" w:hAnsi="Times New Roman" w:cs="Times New Roman"/>
        </w:rPr>
        <w:t xml:space="preserve"> 在每个阶段，系统关注的都不是人类在丰富、有目的且植根于文化的意义上所表达的意图，而是什么内容能够被转换为功能一致性最高的、机器可读的指令，从而作为未来类似请求的内部素材。</w:t>
      </w:r>
      <w:r>
        <w:rPr>
          <w:rStyle w:val="FootnoteReference"/>
          <w:rFonts w:ascii="Times New Roman" w:hAnsi="Times New Roman" w:cs="Times New Roman"/>
        </w:rPr>
        <w:footnoteReference w:id="122"/>
      </w:r>
    </w:p>
    <w:p w:rsidRPr="00093AF0" w:rsidR="00093AF0" w:rsidP="00093AF0" w:rsidRDefault="00093AF0" w14:paraId="3EBF4521" w14:textId="77777777">
      <w:pPr>
        <w:rPr>
          <w:rFonts w:ascii="Times New Roman" w:hAnsi="Times New Roman" w:cs="Times New Roman"/>
        </w:rPr>
      </w:pPr>
    </w:p>
    <w:p w:rsidRPr="00093AF0" w:rsidR="00093AF0" w:rsidP="004E3A22" w:rsidRDefault="00093AF0" w14:paraId="4ACBE5BE" w14:textId="069F0238">
      <w:pPr>
        <w:ind w:firstLine="720"/>
        <w:rPr>
          <w:rFonts w:ascii="Times New Roman" w:hAnsi="Times New Roman" w:cs="Times New Roman"/>
        </w:rPr>
      </w:pPr>
      <w:r>
        <w:rPr>
          <w:rFonts w:ascii="Times New Roman" w:hAnsi="Times New Roman" w:cs="Times New Roman"/>
        </w:rPr>
        <w:t>因此，意图的退化并非偶然，而是结构性的。</w:t>
      </w:r>
      <w:r>
        <w:t>果酱</w:t>
      </w:r>
      <w:r>
        <w:rPr>
          <w:rFonts w:ascii="Times New Roman" w:hAnsi="Times New Roman" w:cs="Times New Roman"/>
        </w:rPr>
        <w:t>看似中立，却剥离了人类法律语义学，因为它所连接的系统基于一种信息理论——该理论在设计上对意义持无所谓态度。香农在该领域创立之初就曾明确指出：通信的语义方面“与工程问题无关”</w:t>
      </w:r>
      <w:r>
        <w:rPr>
          <w:rFonts w:ascii="Times New Roman" w:hAnsi="Times New Roman" w:cs="Times New Roman"/>
        </w:rPr>
        <w:t xml:space="preserve">。</w:t>
      </w:r>
      <w:r>
        <w:rPr>
          <w:rStyle w:val="FootnoteReference"/>
          <w:rFonts w:ascii="Times New Roman" w:hAnsi="Times New Roman" w:cs="Times New Roman"/>
        </w:rPr>
        <w:footnoteReference w:id="123"/>
      </w:r>
      <w:r>
        <w:rPr>
          <w:rFonts w:ascii="Times New Roman" w:hAnsi="Times New Roman" w:cs="Times New Roman"/>
        </w:rPr>
        <w:t xml:space="preserve"> 法律所视为富有成效的模糊性，在形式语言中只能被视为执行前必须解决的错误。</w:t>
      </w:r>
      <w:r>
        <w:rPr>
          <w:rStyle w:val="FootnoteReference"/>
          <w:rFonts w:ascii="Times New Roman" w:hAnsi="Times New Roman" w:cs="Times New Roman"/>
        </w:rPr>
        <w:footnoteReference w:id="124"/>
      </w:r>
      <w:r>
        <w:rPr>
          <w:rFonts w:ascii="Times New Roman" w:hAnsi="Times New Roman" w:cs="Times New Roman"/>
        </w:rPr>
        <w:t xml:space="preserve"> 法律之所以能蓬勃发展，正是因为它依赖于开放式的标准——它必须在多种含义、不可预见的语境以及制度化的判断形式之间进行调和。相比之下，编译系统必须做出决定。在法律往往保持开放性的地方，它们要求封闭性；在法律可能允许模糊性的地方，它们要求确定性。它们优先考虑一致性而非解释，优先考虑可重复性而非情境公平</w:t>
      </w:r>
      <w:r>
        <w:rPr>
          <w:rFonts w:ascii="Times New Roman" w:hAnsi="Times New Roman" w:cs="Times New Roman"/>
        </w:rPr>
        <w:t xml:space="preserve">。</w:t>
      </w:r>
      <w:r>
        <w:rPr>
          <w:rStyle w:val="FootnoteReference"/>
          <w:rFonts w:ascii="Times New Roman" w:hAnsi="Times New Roman" w:cs="Times New Roman"/>
        </w:rPr>
        <w:footnoteReference w:id="125"/>
      </w:r>
      <w:r>
        <w:rPr>
          <w:rFonts w:ascii="Times New Roman" w:hAnsi="Times New Roman" w:cs="Times New Roman"/>
        </w:rPr>
        <w:t xml:space="preserve"> 从这个意义上说，编译器是一个法理学行为体，尽管并非因为它在价值观之间进行选择。它以</w:t>
      </w:r>
      <w:r>
        <w:rPr>
          <w:rFonts w:ascii="Times New Roman" w:hAnsi="Times New Roman" w:cs="Times New Roman"/>
        </w:rPr>
        <w:lastRenderedPageBreak/>
      </w:r>
      <w:r>
        <w:rPr>
          <w:rFonts w:ascii="Times New Roman" w:hAnsi="Times New Roman" w:cs="Times New Roman"/>
        </w:rPr>
        <w:t xml:space="preserve"> 完全忠实的方式，</w:t>
      </w:r>
      <w:r>
        <w:rPr>
          <w:rFonts w:ascii="Times New Roman" w:hAnsi="Times New Roman" w:cs="Times New Roman"/>
        </w:rPr>
        <w:t xml:space="preserve">应用</w:t>
      </w:r>
      <w:r>
        <w:rPr>
          <w:rFonts w:ascii="Times New Roman" w:hAnsi="Times New Roman" w:cs="Times New Roman"/>
        </w:rPr>
        <w:t xml:space="preserve">一套由语言规范和编译器本身的作者在别处编写的规则，而当这些规则与程序员的意图相悖时，规则始终占上风。它与其说像一位立法者，不如说更像一个被迫适用外来法典的法院，受制于一种截然不同的“诺莫斯”（nomos）。</w:t>
      </w:r>
      <w:r>
        <w:rPr>
          <w:rStyle w:val="FootnoteReference"/>
          <w:rFonts w:ascii="Times New Roman" w:hAnsi="Times New Roman" w:cs="Times New Roman"/>
        </w:rPr>
        <w:footnoteReference w:id="126"/>
      </w:r>
    </w:p>
    <w:p w:rsidRPr="00093AF0" w:rsidR="00093AF0" w:rsidP="00093AF0" w:rsidRDefault="00093AF0" w14:paraId="0B39934D" w14:textId="77777777">
      <w:pPr>
        <w:rPr>
          <w:rFonts w:ascii="Times New Roman" w:hAnsi="Times New Roman" w:cs="Times New Roman"/>
        </w:rPr>
      </w:pPr>
    </w:p>
    <w:p w:rsidRPr="00093AF0" w:rsidR="00093AF0" w:rsidP="004E3A22" w:rsidRDefault="00093AF0" w14:paraId="3AD4AC51" w14:textId="0593F6F0">
      <w:pPr>
        <w:ind w:firstLine="720"/>
        <w:rPr>
          <w:rFonts w:ascii="Times New Roman" w:hAnsi="Times New Roman" w:cs="Times New Roman"/>
        </w:rPr>
      </w:pPr>
      <w:r>
        <w:rPr>
          <w:rFonts w:ascii="Times New Roman" w:hAnsi="Times New Roman" w:cs="Times New Roman"/>
        </w:rPr>
        <w:t xml:space="preserve">正因如此，在机器码生成之前，控制权就已经悄然流失。人类程序员依然依附于受文本约束且人性化的操作系统的法律、社会和文化构造——对该系统的编码被理解为“法治”，无论他们是否意识到这种依附的程度</w:t>
      </w:r>
      <w:r>
        <w:rPr>
          <w:rFonts w:ascii="Times New Roman" w:hAnsi="Times New Roman" w:cs="Times New Roman"/>
        </w:rPr>
        <w:t xml:space="preserve">。</w:t>
      </w:r>
      <w:r>
        <w:rPr>
          <w:rStyle w:val="FootnoteReference"/>
          <w:rFonts w:ascii="Times New Roman" w:hAnsi="Times New Roman" w:cs="Times New Roman"/>
        </w:rPr>
        <w:footnoteReference w:id="127"/>
      </w:r>
      <w:r>
        <w:rPr>
          <w:rFonts w:ascii="Times New Roman" w:hAnsi="Times New Roman" w:cs="Times New Roman"/>
        </w:rPr>
        <w:t xml:space="preserve"> 但一旦源代码被编译，文本便进入了一个不再受这些建构所支配的认知宇宙</w:t>
      </w:r>
      <w:r>
        <w:rPr>
          <w:rFonts w:ascii="Times New Roman" w:hAnsi="Times New Roman" w:cs="Times New Roman"/>
        </w:rPr>
        <w:t xml:space="preserve">。</w:t>
      </w:r>
      <w:r>
        <w:rPr>
          <w:rStyle w:val="FootnoteReference"/>
          <w:rFonts w:ascii="Times New Roman" w:hAnsi="Times New Roman" w:cs="Times New Roman"/>
        </w:rPr>
        <w:footnoteReference w:id="128"/>
      </w:r>
      <w:r>
        <w:rPr>
          <w:rFonts w:ascii="Times New Roman" w:hAnsi="Times New Roman" w:cs="Times New Roman"/>
        </w:rPr>
        <w:t xml:space="preserve"> 取而代之的是，它受制于机器内在的理性</w:t>
      </w:r>
      <w:r>
        <w:rPr>
          <w:rStyle w:val="FootnoteReference"/>
          <w:rFonts w:ascii="Times New Roman" w:hAnsi="Times New Roman" w:cs="Times New Roman"/>
        </w:rPr>
        <w:footnoteReference w:id="129"/>
      </w:r>
      <w:r>
        <w:rPr>
          <w:rFonts w:ascii="Times New Roman" w:hAnsi="Times New Roman" w:cs="Times New Roman"/>
        </w:rPr>
        <w:t xml:space="preserve"> ：执行效率、形式决定论、互操作性、内存纪律、指令兼容性以及物理可行性。人类的意图并未被否定，而是从属于另一种可理解性秩序。</w:t>
      </w:r>
    </w:p>
    <w:p w:rsidRPr="00093AF0" w:rsidR="00093AF0" w:rsidP="00093AF0" w:rsidRDefault="00093AF0" w14:paraId="0BE373E0" w14:textId="77777777">
      <w:pPr>
        <w:rPr>
          <w:rFonts w:ascii="Times New Roman" w:hAnsi="Times New Roman" w:cs="Times New Roman"/>
        </w:rPr>
      </w:pPr>
    </w:p>
    <w:p w:rsidRPr="00093AF0" w:rsidR="00093AF0" w:rsidP="00093AF0" w:rsidRDefault="00093AF0" w14:paraId="2FE100B0" w14:textId="77777777">
      <w:pPr>
        <w:rPr>
          <w:rFonts w:ascii="Times New Roman" w:hAnsi="Times New Roman" w:cs="Times New Roman"/>
          <w:i/>
          <w:iCs/>
        </w:rPr>
      </w:pPr>
      <w:r>
        <w:rPr>
          <w:rFonts w:ascii="Times New Roman" w:hAnsi="Times New Roman" w:cs="Times New Roman"/>
          <w:i/>
          <w:iCs/>
        </w:rPr>
        <w:t xml:space="preserve">iv. 底层不可及性</w:t>
      </w:r>
    </w:p>
    <w:p w:rsidRPr="00093AF0" w:rsidR="00093AF0" w:rsidP="004E3A22" w:rsidRDefault="00093AF0" w14:paraId="65E42F22" w14:textId="1874F9FB">
      <w:pPr>
        <w:ind w:firstLine="720"/>
        <w:rPr>
          <w:rFonts w:ascii="Times New Roman" w:hAnsi="Times New Roman" w:cs="Times New Roman"/>
        </w:rPr>
      </w:pPr>
      <w:r>
        <w:rPr>
          <w:rFonts w:ascii="Times New Roman" w:hAnsi="Times New Roman" w:cs="Times New Roman"/>
        </w:rPr>
        <w:t xml:space="preserve">治理面临的重大威胁并非仅仅源于机器执行规则，而是因为决定性的底层执行层对普通人类认知而言实际上是不可企及的。一个一贯的主题</w:t>
      </w:r>
      <w:r>
        <w:rPr>
          <w:rFonts w:ascii="Times New Roman" w:hAnsi="Times New Roman" w:cs="Times New Roman"/>
        </w:rPr>
        <w:t xml:space="preserve">浮现出来：</w:t>
      </w:r>
      <w:r>
        <w:rPr>
          <w:rFonts w:ascii="Times New Roman" w:hAnsi="Times New Roman" w:cs="Times New Roman"/>
        </w:rPr>
        <w:t xml:space="preserve">人类可以阅读源代码，但无法在实质意义上解读机器代码和对象代码。底层堆栈的秩序依然成谜，而当生成式智能不仅能够掌握机器语言，还能掌握作为机器语言来源的源代码语言时，这种神秘感便愈发加深。</w:t>
      </w:r>
      <w:r>
        <w:rPr>
          <w:rStyle w:val="FootnoteReference"/>
          <w:rFonts w:ascii="Times New Roman" w:hAnsi="Times New Roman" w:cs="Times New Roman"/>
        </w:rPr>
        <w:footnoteReference w:id="130"/>
      </w:r>
    </w:p>
    <w:p w:rsidRPr="00093AF0" w:rsidR="00093AF0" w:rsidP="00093AF0" w:rsidRDefault="00093AF0" w14:paraId="7DF12B53" w14:textId="77777777">
      <w:pPr>
        <w:rPr>
          <w:rFonts w:ascii="Times New Roman" w:hAnsi="Times New Roman" w:cs="Times New Roman"/>
        </w:rPr>
      </w:pPr>
    </w:p>
    <w:p w:rsidRPr="00093AF0" w:rsidR="00093AF0" w:rsidP="004E3A22" w:rsidRDefault="00093AF0" w14:paraId="281818A6" w14:textId="56B9CFE5">
      <w:pPr>
        <w:ind w:firstLine="720"/>
        <w:rPr>
          <w:rFonts w:ascii="Times New Roman" w:hAnsi="Times New Roman" w:cs="Times New Roman"/>
        </w:rPr>
      </w:pPr>
      <w:r>
        <w:rPr>
          <w:rFonts w:ascii="Times New Roman" w:hAnsi="Times New Roman" w:cs="Times New Roman"/>
        </w:rPr>
        <w:t xml:space="preserve">这种不透明性之所以重要，是因为治理至少在某种程度上假定可读性。</w:t>
      </w:r>
      <w:r>
        <w:rPr>
          <w:rStyle w:val="FootnoteReference"/>
          <w:rFonts w:ascii="Times New Roman" w:hAnsi="Times New Roman" w:cs="Times New Roman"/>
        </w:rPr>
        <w:footnoteReference w:id="131"/>
      </w:r>
      <w:r>
        <w:rPr>
          <w:rFonts w:ascii="Times New Roman" w:hAnsi="Times New Roman" w:cs="Times New Roman"/>
        </w:rPr>
        <w:t xml:space="preserve"> 除非通过代理，否则无法有效约束无法直接检查的事物。</w:t>
      </w:r>
      <w:r>
        <w:rPr>
          <w:rFonts w:ascii="Times New Roman" w:hAnsi="Times New Roman" w:cs="Times New Roman"/>
        </w:rPr>
        <w:t xml:space="preserve">当系统的运作规范已迁移至人类实际解读能力无法企及的阈值之下时，</w:t>
      </w:r>
      <w:r>
        <w:rPr>
          <w:rFonts w:ascii="Times New Roman" w:hAnsi="Times New Roman" w:cs="Times New Roman"/>
        </w:rPr>
        <w:t xml:space="preserve">便无法</w:t>
      </w:r>
      <w:r>
        <w:rPr>
          <w:rFonts w:ascii="Times New Roman" w:hAnsi="Times New Roman" w:cs="Times New Roman"/>
        </w:rPr>
        <w:t xml:space="preserve">对其进行</w:t>
      </w:r>
      <w:r>
        <w:rPr>
          <w:rFonts w:ascii="Times New Roman" w:hAnsi="Times New Roman" w:cs="Times New Roman"/>
        </w:rPr>
        <w:t xml:space="preserve">有意义的</w:t>
      </w:r>
      <w:r>
        <w:rPr>
          <w:rFonts w:ascii="Times New Roman" w:hAnsi="Times New Roman" w:cs="Times New Roman"/>
        </w:rPr>
        <w:lastRenderedPageBreak/>
      </w:r>
      <w:r>
        <w:rPr>
          <w:rFonts w:ascii="Times New Roman" w:hAnsi="Times New Roman" w:cs="Times New Roman"/>
        </w:rPr>
        <w:t xml:space="preserve"> 从属管理</w:t>
      </w:r>
      <w:r>
        <w:rPr>
          <w:rFonts w:ascii="Times New Roman" w:hAnsi="Times New Roman" w:cs="Times New Roman"/>
        </w:rPr>
        <w:t xml:space="preserve">。</w:t>
      </w:r>
      <w:r>
        <w:rPr>
          <w:rStyle w:val="FootnoteReference"/>
          <w:rFonts w:ascii="Times New Roman" w:hAnsi="Times New Roman" w:cs="Times New Roman"/>
        </w:rPr>
        <w:footnoteReference w:id="132"/>
      </w:r>
      <w:r>
        <w:rPr>
          <w:rFonts w:ascii="Times New Roman" w:hAnsi="Times New Roman" w:cs="Times New Roman"/>
        </w:rPr>
        <w:t xml:space="preserve"> 在底层，机器不会与人类就价值冲突进行商议。它在物理约束下处理二元区分。它的世界是可执行的可能性之世界，而非法律说服之世界。</w:t>
      </w:r>
    </w:p>
    <w:p w:rsidRPr="00093AF0" w:rsidR="00093AF0" w:rsidP="00093AF0" w:rsidRDefault="00093AF0" w14:paraId="3F7657C5" w14:textId="77777777">
      <w:pPr>
        <w:rPr>
          <w:rFonts w:ascii="Times New Roman" w:hAnsi="Times New Roman" w:cs="Times New Roman"/>
        </w:rPr>
      </w:pPr>
    </w:p>
    <w:p w:rsidRPr="00093AF0" w:rsidR="00093AF0" w:rsidP="004E3A22" w:rsidRDefault="00093AF0" w14:paraId="3A11F4A3" w14:textId="21F6BCF3">
      <w:pPr>
        <w:ind w:firstLine="720"/>
        <w:rPr>
          <w:rFonts w:ascii="Times New Roman" w:hAnsi="Times New Roman" w:cs="Times New Roman"/>
        </w:rPr>
      </w:pPr>
      <w:r>
        <w:rPr>
          <w:rFonts w:ascii="Times New Roman" w:hAnsi="Times New Roman" w:cs="Times New Roman"/>
        </w:rPr>
        <w:t xml:space="preserve">因此，底层本质上对第一层和第二层注入的人类价值观漠不关心。此处的漠不关心并不意味着敌意，而是指结构上的不对应。</w:t>
      </w:r>
      <w:r>
        <w:rPr>
          <w:rStyle w:val="FootnoteReference"/>
          <w:rFonts w:ascii="Times New Roman" w:hAnsi="Times New Roman" w:cs="Times New Roman"/>
        </w:rPr>
        <w:footnoteReference w:id="133"/>
      </w:r>
      <w:r>
        <w:rPr>
          <w:rFonts w:ascii="Times New Roman" w:hAnsi="Times New Roman" w:cs="Times New Roman"/>
        </w:rPr>
        <w:t xml:space="preserve"> 只有当人类价值观被转化为底层能够处理的形式时，才能对系统产生影响。话虽如此，底层本身并不依赖于这些价值观。它们在字面意义上仍然受制于二进制逻辑、电学状态、架构赋能以及执行纪律。</w:t>
      </w:r>
    </w:p>
    <w:p w:rsidRPr="00093AF0" w:rsidR="00093AF0" w:rsidP="00093AF0" w:rsidRDefault="00093AF0" w14:paraId="5DE2E369" w14:textId="77777777">
      <w:pPr>
        <w:rPr>
          <w:rFonts w:ascii="Times New Roman" w:hAnsi="Times New Roman" w:cs="Times New Roman"/>
        </w:rPr>
      </w:pPr>
    </w:p>
    <w:p w:rsidRPr="00093AF0" w:rsidR="00093AF0" w:rsidP="004E3A22" w:rsidRDefault="00093AF0" w14:paraId="643B16F2" w14:textId="367468A7">
      <w:pPr>
        <w:ind w:firstLine="720"/>
        <w:rPr>
          <w:rFonts w:ascii="Times New Roman" w:hAnsi="Times New Roman" w:cs="Times New Roman"/>
        </w:rPr>
      </w:pPr>
      <w:r>
        <w:rPr>
          <w:rFonts w:ascii="Times New Roman" w:hAnsi="Times New Roman" w:cs="Times New Roman"/>
        </w:rPr>
        <w:t xml:space="preserve">生成式智能的出现从质上加剧了这一问题。只要人类仍在编写源代码，至少还能设想在编程层存在一个残余的监管干预空间。而这一空间正在逐渐消蚀。如今，具有自主性的编码工具能够读取代码库、编写和修改代码、运行测试，并在所获权限范围内，仅需有限的人工审查即可根据结果采取行动</w:t>
      </w:r>
      <w:r>
        <w:rPr>
          <w:rFonts w:ascii="Times New Roman" w:hAnsi="Times New Roman" w:cs="Times New Roman"/>
        </w:rPr>
        <w:t xml:space="preserve">。</w:t>
      </w:r>
      <w:r>
        <w:rPr>
          <w:rStyle w:val="FootnoteReference"/>
          <w:rFonts w:ascii="Times New Roman" w:hAnsi="Times New Roman" w:cs="Times New Roman"/>
        </w:rPr>
        <w:footnoteReference w:id="134"/>
      </w:r>
      <w:r>
        <w:rPr>
          <w:rFonts w:ascii="Times New Roman" w:hAnsi="Times New Roman" w:cs="Times New Roman"/>
        </w:rPr>
        <w:t xml:space="preserve"> 随着机器智能在编写、修订和优化源代码（包括其他系统的代码，最终甚至包括其自身的代码）方面的能力不断提升，翻译过程本身已内化为自主系统的一部分</w:t>
      </w:r>
      <w:r>
        <w:rPr>
          <w:rFonts w:ascii="Times New Roman" w:hAnsi="Times New Roman" w:cs="Times New Roman"/>
        </w:rPr>
        <w:t xml:space="preserve">。</w:t>
      </w:r>
      <w:r>
        <w:rPr>
          <w:rStyle w:val="FootnoteReference"/>
          <w:rFonts w:ascii="Times New Roman" w:hAnsi="Times New Roman" w:cs="Times New Roman"/>
        </w:rPr>
        <w:footnoteReference w:id="135"/>
      </w:r>
      <w:r>
        <w:rPr>
          <w:rFonts w:ascii="Times New Roman" w:hAnsi="Times New Roman" w:cs="Times New Roman"/>
        </w:rPr>
        <w:t xml:space="preserve"> 人类早已被排除在最低层之外，如今也正日益被排除在更高层级的介入点之外。认知循环开始自我闭合，“代码</w:t>
      </w:r>
      <w:r>
        <w:t>之</w:t>
      </w:r>
      <w:r>
        <w:rPr>
          <w:rFonts w:ascii="Times New Roman" w:hAnsi="Times New Roman" w:cs="Times New Roman"/>
        </w:rPr>
        <w:t>治”变得愈发完美地自我指涉。 因此，在此背景下，人类所剩下的只有一个根本性的抉择：是否使用该系统？</w:t>
      </w:r>
    </w:p>
    <w:p w:rsidRPr="00093AF0" w:rsidR="00093AF0" w:rsidP="00093AF0" w:rsidRDefault="00093AF0" w14:paraId="49EC4005" w14:textId="77777777">
      <w:pPr>
        <w:rPr>
          <w:rFonts w:ascii="Times New Roman" w:hAnsi="Times New Roman" w:cs="Times New Roman"/>
        </w:rPr>
      </w:pPr>
    </w:p>
    <w:p w:rsidR="003D5A83" w:rsidRDefault="00000000" w14:paraId="40788154" w14:textId="4D8A33B8">
      <w:pPr>
        <w:ind w:firstLine="720"/>
        <w:rPr>
          <w:rFonts w:ascii="Times New Roman" w:hAnsi="Times New Roman" w:cs="Times New Roman"/>
        </w:rPr>
      </w:pPr>
      <w:r>
        <w:rPr>
          <w:rFonts w:ascii="Times New Roman" w:hAnsi="Times New Roman" w:cs="Times New Roman"/>
        </w:rPr>
        <w:t xml:space="preserve">这一决定</w:t>
      </w:r>
      <w:r w:rsidR="00CB2BB7">
        <w:rPr>
          <w:rFonts w:ascii="Times New Roman" w:hAnsi="Times New Roman" w:cs="Times New Roman"/>
        </w:rPr>
        <w:t xml:space="preserve">——即是否使用该系统</w:t>
      </w:r>
      <w:r>
        <w:rPr>
          <w:rFonts w:ascii="Times New Roman" w:hAnsi="Times New Roman" w:cs="Times New Roman"/>
        </w:rPr>
        <w:t xml:space="preserve">——不应被误认为是一个单一的行为。将其分解来看，它会在栈与人类世界交汇的每一个节点上反复出现：是否部署合约、是否运行节点软件、是否接受协议升级、是否授予</w:t>
      </w:r>
      <w:r>
        <w:rPr>
          <w:rFonts w:ascii="Times New Roman" w:hAnsi="Times New Roman" w:cs="Times New Roman"/>
        </w:rPr>
        <w:lastRenderedPageBreak/>
      </w:r>
      <w:r>
        <w:rPr>
          <w:rFonts w:ascii="Times New Roman" w:hAnsi="Times New Roman" w:cs="Times New Roman"/>
        </w:rPr>
        <w:t xml:space="preserve"> 代理提交代码的权限，乃至是否参与该网络。 每一处都是一道闸门，而非审议的空间。站在闸门前的人不会与另一侧的代码进行协商，而只能予以放行或拒绝。然而，这一决定仅在形式上是二元的。法律同样通过“合法”与“非法”的二元区分来作出裁决，而赋予这种区分以实质内容的，正是决定其何时以及在何种条件下适用的程序</w:t>
      </w:r>
      <w:r>
        <w:rPr>
          <w:rFonts w:ascii="Times New Roman" w:hAnsi="Times New Roman" w:cs="Times New Roman"/>
        </w:rPr>
        <w:t xml:space="preserve">。</w:t>
      </w:r>
      <w:r>
        <w:rPr>
          <w:rStyle w:val="FootnoteReference"/>
          <w:rFonts w:ascii="Times New Roman" w:hAnsi="Times New Roman" w:cs="Times New Roman"/>
        </w:rPr>
        <w:footnoteReference w:id="136"/>
      </w:r>
      <w:r>
        <w:rPr>
          <w:rFonts w:ascii="Times New Roman" w:hAnsi="Times New Roman" w:cs="Times New Roman"/>
        </w:rPr>
        <w:t xml:space="preserve"> 使用决策亦无二致。谁可以部署、经过何种审计、以何种披露方式、承担何种责任以及拥有何种覆盖权限——所有这些条件均可附加于“门”之上。因此，留给人类的意志行为虽有限，却并非空洞。这正是法律与代码能够耦合的节点。 </w:t>
      </w:r>
    </w:p>
    <w:p w:rsidR="003D5A83" w:rsidRDefault="003D5A83" w14:paraId="5748BE23" w14:textId="77777777">
      <w:pPr>
        <w:rPr>
          <w:rFonts w:ascii="Times New Roman" w:hAnsi="Times New Roman" w:cs="Times New Roman"/>
        </w:rPr>
      </w:pPr>
    </w:p>
    <w:p w:rsidRPr="00093AF0" w:rsidR="00093AF0" w:rsidP="004E3A22" w:rsidRDefault="00093AF0" w14:paraId="0760CE32" w14:textId="64B023C8">
      <w:pPr>
        <w:ind w:firstLine="720"/>
        <w:rPr>
          <w:rFonts w:ascii="Times New Roman" w:hAnsi="Times New Roman" w:cs="Times New Roman"/>
        </w:rPr>
      </w:pPr>
      <w:r>
        <w:rPr>
          <w:rFonts w:ascii="Times New Roman" w:hAnsi="Times New Roman" w:cs="Times New Roman"/>
        </w:rPr>
        <w:t xml:space="preserve">其结果并非法律的消亡，而是其传统运作模式的位移。法律不再面对一个被动的工具。</w:t>
      </w:r>
      <w:r>
        <w:rPr>
          <w:rStyle w:val="FootnoteReference"/>
          <w:rFonts w:ascii="Times New Roman" w:hAnsi="Times New Roman" w:cs="Times New Roman"/>
        </w:rPr>
        <w:footnoteReference w:id="137"/>
      </w:r>
      <w:r>
        <w:rPr>
          <w:rFonts w:ascii="Times New Roman" w:hAnsi="Times New Roman" w:cs="Times New Roman"/>
        </w:rPr>
        <w:t xml:space="preserve"> 它面对的是一种交流秩序：其内部运作可能仅部分可知，其自身的语言生态超越了人类的流利程度，且其对人类指令的翻译已不能被视为透明、稳定，甚至无法被检索。</w:t>
      </w:r>
    </w:p>
    <w:p w:rsidRPr="00093AF0" w:rsidR="00093AF0" w:rsidP="00093AF0" w:rsidRDefault="00093AF0" w14:paraId="27D3077E" w14:textId="77777777">
      <w:pPr>
        <w:rPr>
          <w:rFonts w:ascii="Times New Roman" w:hAnsi="Times New Roman" w:cs="Times New Roman"/>
        </w:rPr>
      </w:pPr>
    </w:p>
    <w:p w:rsidRPr="00093AF0" w:rsidR="00093AF0" w:rsidP="00093AF0" w:rsidRDefault="00093AF0" w14:paraId="65D33082" w14:textId="77777777">
      <w:pPr>
        <w:rPr>
          <w:rFonts w:ascii="Times New Roman" w:hAnsi="Times New Roman" w:cs="Times New Roman"/>
          <w:i/>
          <w:iCs/>
        </w:rPr>
      </w:pPr>
      <w:r>
        <w:rPr>
          <w:rFonts w:ascii="Times New Roman" w:hAnsi="Times New Roman" w:cs="Times New Roman"/>
          <w:i/>
          <w:iCs/>
        </w:rPr>
        <w:t xml:space="preserve">v. 作为结构耦合的综合</w:t>
      </w:r>
    </w:p>
    <w:p w:rsidRPr="00093AF0" w:rsidR="00093AF0" w:rsidP="00966A48" w:rsidRDefault="00093AF0" w14:paraId="71F8CCDB" w14:textId="178FF7F0">
      <w:pPr>
        <w:rPr>
          <w:rFonts w:ascii="Times New Roman" w:hAnsi="Times New Roman" w:cs="Times New Roman"/>
        </w:rPr>
      </w:pPr>
      <w:r>
        <w:rPr>
          <w:rFonts w:ascii="Times New Roman" w:hAnsi="Times New Roman" w:cs="Times New Roman"/>
        </w:rPr>
        <w:t xml:space="preserve">如果上述论点正确，那么标准的监管立场确实是错误的。从分析角度来看，假设法律——其传统上专注于物理（有形和无形）空间的组织与管理，即其法律功能</w:t>
      </w:r>
      <w:r>
        <w:rPr>
          <w:rFonts w:ascii="Times New Roman" w:hAnsi="Times New Roman" w:cs="Times New Roman"/>
        </w:rPr>
        <w:t xml:space="preserve">，</w:t>
      </w:r>
      <w:r>
        <w:rPr>
          <w:rStyle w:val="FootnoteReference"/>
          <w:rFonts w:ascii="Times New Roman" w:hAnsi="Times New Roman" w:cs="Times New Roman"/>
        </w:rPr>
        <w:footnoteReference w:id="138"/>
      </w:r>
      <w:r>
        <w:rPr>
          <w:rFonts w:ascii="Times New Roman" w:hAnsi="Times New Roman" w:cs="Times New Roman"/>
        </w:rPr>
        <w:t xml:space="preserve"> ——仅凭主权主张就能在编码系统中占据绝对主导地位，</w:t>
      </w:r>
      <w:r>
        <w:rPr>
          <w:rFonts w:ascii="Times New Roman" w:hAnsi="Times New Roman" w:cs="Times New Roman"/>
        </w:rPr>
        <w:t xml:space="preserve">这种假设是错误的</w:t>
      </w:r>
      <w:r>
        <w:rPr>
          <w:rFonts w:ascii="Times New Roman" w:hAnsi="Times New Roman" w:cs="Times New Roman"/>
        </w:rPr>
        <w:t xml:space="preserve">。 难点在于，强制手段无法解决沟通上的不兼容性。由于封闭系统无法直接改变彼此的内部运作，它们只能在特定的边界上相互“刺激”</w:t>
      </w:r>
      <w:r>
        <w:rPr>
          <w:rFonts w:ascii="Times New Roman" w:hAnsi="Times New Roman" w:cs="Times New Roman"/>
        </w:rPr>
        <w:t xml:space="preserve">。</w:t>
      </w:r>
      <w:r>
        <w:rPr>
          <w:rStyle w:val="FootnoteReference"/>
          <w:rFonts w:ascii="Times New Roman" w:hAnsi="Times New Roman" w:cs="Times New Roman"/>
        </w:rPr>
        <w:footnoteReference w:id="139"/>
      </w:r>
      <w:r>
        <w:rPr>
          <w:rFonts w:ascii="Times New Roman" w:hAnsi="Times New Roman" w:cs="Times New Roman"/>
        </w:rPr>
        <w:t xml:space="preserve"> 结构耦合是卢曼（Luhmann）提出的术语，指使这种刺激变得规律且可预期而非偶然的安排，正如宪法将法律与政治耦合，或合同与财产权将法律与经济耦合一样。</w:t>
      </w:r>
      <w:r>
        <w:rPr>
          <w:rStyle w:val="FootnoteReference"/>
          <w:rFonts w:ascii="Times New Roman" w:hAnsi="Times New Roman" w:cs="Times New Roman"/>
        </w:rPr>
        <w:footnoteReference w:id="140"/>
      </w:r>
    </w:p>
    <w:p w:rsidRPr="00093AF0" w:rsidR="00093AF0" w:rsidP="00093AF0" w:rsidRDefault="00093AF0" w14:paraId="70D7E165" w14:textId="77777777">
      <w:pPr>
        <w:rPr>
          <w:rFonts w:ascii="Times New Roman" w:hAnsi="Times New Roman" w:cs="Times New Roman"/>
        </w:rPr>
      </w:pPr>
    </w:p>
    <w:p w:rsidRPr="00093AF0" w:rsidR="00093AF0" w:rsidP="004E3A22" w:rsidRDefault="00093AF0" w14:paraId="24EED901" w14:textId="06273689">
      <w:pPr>
        <w:ind w:firstLine="720"/>
        <w:rPr>
          <w:rFonts w:ascii="Times New Roman" w:hAnsi="Times New Roman" w:cs="Times New Roman"/>
        </w:rPr>
      </w:pPr>
      <w:r>
        <w:rPr>
          <w:rFonts w:ascii="Times New Roman" w:hAnsi="Times New Roman" w:cs="Times New Roman"/>
        </w:rPr>
        <w:t>正确的问题不在于第一层如何直接支配最后几层。它无法做到这一点，除非采用粗糙且往往低效的方式。更有价值的问题在于，结构耦合可以在何处制度化，以便“法治”与“代码</w:t>
      </w:r>
      <w:r>
        <w:t>之</w:t>
      </w:r>
      <w:r>
        <w:rPr>
          <w:rFonts w:ascii="Times New Roman" w:hAnsi="Times New Roman" w:cs="Times New Roman"/>
        </w:rPr>
        <w:t>治”这两个系统能够在不预设可还原性的前提下，相互“刺激”、约束和引导。 解决之道可从两方面着手：首先，将区块链视为虚拟秩序与物理秩序之间结构性耦合的场域；其次，在人类与机器交汇之处——即所谓“人-机器闭环”过程中——确立人类监管的持续地位。</w:t>
      </w:r>
      <w:r>
        <w:rPr>
          <w:rStyle w:val="FootnoteReference"/>
          <w:rFonts w:ascii="Times New Roman" w:hAnsi="Times New Roman" w:cs="Times New Roman"/>
        </w:rPr>
        <w:footnoteReference w:id="141"/>
      </w:r>
    </w:p>
    <w:p w:rsidRPr="00093AF0" w:rsidR="00093AF0" w:rsidP="00093AF0" w:rsidRDefault="00093AF0" w14:paraId="7A07B1D5" w14:textId="77777777">
      <w:pPr>
        <w:rPr>
          <w:rFonts w:ascii="Times New Roman" w:hAnsi="Times New Roman" w:cs="Times New Roman"/>
        </w:rPr>
      </w:pPr>
    </w:p>
    <w:p w:rsidRPr="00093AF0" w:rsidR="00093AF0" w:rsidP="004E3A22" w:rsidRDefault="00093AF0" w14:paraId="143E3A9B" w14:textId="6F50DFCB">
      <w:pPr>
        <w:ind w:firstLine="720"/>
        <w:rPr>
          <w:rFonts w:ascii="Times New Roman" w:hAnsi="Times New Roman" w:cs="Times New Roman"/>
        </w:rPr>
      </w:pPr>
      <w:r>
        <w:rPr>
          <w:rFonts w:ascii="Times New Roman" w:hAnsi="Times New Roman" w:cs="Times New Roman"/>
        </w:rPr>
        <w:t xml:space="preserve">因此，结构耦合应被理解为对“至高无上”幻想的一种具有法律意义的替代方案，特别是在人-机-人系统背景下。</w:t>
      </w:r>
      <w:r>
        <w:rPr>
          <w:rStyle w:val="FootnoteReference"/>
          <w:rFonts w:ascii="Times New Roman" w:hAnsi="Times New Roman" w:cs="Times New Roman"/>
        </w:rPr>
        <w:footnoteReference w:id="142"/>
      </w:r>
      <w:r>
        <w:rPr>
          <w:rFonts w:ascii="Times New Roman" w:hAnsi="Times New Roman" w:cs="Times New Roman"/>
        </w:rPr>
        <w:t xml:space="preserve"> 以人为中心且源于人的法律，可能规范以下方面：接入点、接口条件、披露义务、审计</w:t>
      </w:r>
      <w:r>
        <w:rPr>
          <w:rFonts w:ascii="Times New Roman" w:hAnsi="Times New Roman" w:cs="Times New Roman"/>
        </w:rPr>
        <w:lastRenderedPageBreak/>
      </w:r>
      <w:r>
        <w:rPr>
          <w:rFonts w:ascii="Times New Roman" w:hAnsi="Times New Roman" w:cs="Times New Roman"/>
        </w:rPr>
        <w:t xml:space="preserve"> 架构、覆盖权限、责任分配、节点治理、更新授权以及机构审查程序</w:t>
      </w:r>
      <w:r>
        <w:rPr>
          <w:rFonts w:ascii="Times New Roman" w:hAnsi="Times New Roman" w:cs="Times New Roman"/>
        </w:rPr>
        <w:t xml:space="preserve">。</w:t>
      </w:r>
      <w:r>
        <w:rPr>
          <w:rStyle w:val="FootnoteReference"/>
          <w:rFonts w:ascii="Times New Roman" w:hAnsi="Times New Roman" w:cs="Times New Roman"/>
        </w:rPr>
        <w:footnoteReference w:id="143"/>
      </w:r>
      <w:r>
        <w:rPr>
          <w:rFonts w:ascii="Times New Roman" w:hAnsi="Times New Roman" w:cs="Times New Roman"/>
        </w:rPr>
        <w:t xml:space="preserve"> 它应当规范编码系统被允许将效应向外投射到人类社会和经济生活中的条件。它应当规范耦合机制本身的设计。然而，它不应假装第一层语汇中表述的指令能够未经转换就完整地传递到机器执行层面。</w:t>
      </w:r>
    </w:p>
    <w:p w:rsidRPr="00093AF0" w:rsidR="00093AF0" w:rsidP="00093AF0" w:rsidRDefault="00093AF0" w14:paraId="325B1A76" w14:textId="77777777">
      <w:pPr>
        <w:rPr>
          <w:rFonts w:ascii="Times New Roman" w:hAnsi="Times New Roman" w:cs="Times New Roman"/>
        </w:rPr>
      </w:pPr>
    </w:p>
    <w:p w:rsidRPr="00093AF0" w:rsidR="00093AF0" w:rsidP="004E3A22" w:rsidRDefault="00093AF0" w14:paraId="6C12E5A6" w14:textId="62952648">
      <w:pPr>
        <w:ind w:firstLine="720"/>
        <w:rPr>
          <w:rFonts w:ascii="Times New Roman" w:hAnsi="Times New Roman" w:cs="Times New Roman"/>
        </w:rPr>
      </w:pPr>
      <w:r>
        <w:rPr>
          <w:rFonts w:ascii="Times New Roman" w:hAnsi="Times New Roman" w:cs="Times New Roman"/>
        </w:rPr>
        <w:t xml:space="preserve">这种重新定位至少有三个启示。首先，治理必须聚焦于“翻译”场域，而非抽象的控制主张</w:t>
      </w:r>
      <w:r>
        <w:rPr>
          <w:rFonts w:ascii="Times New Roman" w:hAnsi="Times New Roman" w:cs="Times New Roman"/>
        </w:rPr>
        <w:t xml:space="preserve">。</w:t>
      </w:r>
      <w:r>
        <w:rPr>
          <w:rStyle w:val="FootnoteReference"/>
          <w:rFonts w:ascii="Times New Roman" w:hAnsi="Times New Roman" w:cs="Times New Roman"/>
        </w:rPr>
        <w:footnoteReference w:id="144"/>
      </w:r>
      <w:r>
        <w:rPr>
          <w:rFonts w:ascii="Times New Roman" w:hAnsi="Times New Roman" w:cs="Times New Roman"/>
        </w:rPr>
        <w:t xml:space="preserve"> 其次，法律必须更加关注计算的多层符号学，并减少对“源代码即机器的全部”这一虚构观念的执着</w:t>
      </w:r>
      <w:r>
        <w:rPr>
          <w:rFonts w:ascii="Times New Roman" w:hAnsi="Times New Roman" w:cs="Times New Roman"/>
        </w:rPr>
        <w:t xml:space="preserve">。</w:t>
      </w:r>
      <w:r>
        <w:rPr>
          <w:rStyle w:val="FootnoteReference"/>
          <w:rFonts w:ascii="Times New Roman" w:hAnsi="Times New Roman" w:cs="Times New Roman"/>
        </w:rPr>
        <w:footnoteReference w:id="145"/>
      </w:r>
      <w:r>
        <w:rPr>
          <w:rFonts w:ascii="Times New Roman" w:hAnsi="Times New Roman" w:cs="Times New Roman"/>
        </w:rPr>
        <w:t xml:space="preserve"> 第三，人类监督的嵌入不应是出于怀旧式的安抚，而应作为一种精心设计的结构，在编码自主性对人类世界产生影响的具体节点上，实现中断、审查和可争议性。</w:t>
      </w:r>
      <w:r>
        <w:rPr>
          <w:rStyle w:val="FootnoteReference"/>
          <w:rFonts w:ascii="Times New Roman" w:hAnsi="Times New Roman" w:cs="Times New Roman"/>
        </w:rPr>
        <w:footnoteReference w:id="146"/>
      </w:r>
      <w:r>
        <w:rPr>
          <w:rFonts w:ascii="Times New Roman" w:hAnsi="Times New Roman" w:cs="Times New Roman"/>
        </w:rPr>
        <w:t xml:space="preserve"> 区块链既实体化了又打破了传统的沟通模式和社会互动模式，而这些模式的规则不再必然以文本为依据，也不再以人为中心。</w:t>
      </w:r>
    </w:p>
    <w:p w:rsidRPr="00093AF0" w:rsidR="00093AF0" w:rsidP="00093AF0" w:rsidRDefault="00093AF0" w14:paraId="2C0107C5" w14:textId="77777777">
      <w:pPr>
        <w:rPr>
          <w:rFonts w:ascii="Times New Roman" w:hAnsi="Times New Roman" w:cs="Times New Roman"/>
        </w:rPr>
      </w:pPr>
    </w:p>
    <w:p w:rsidRPr="002162E0" w:rsidR="00093AF0" w:rsidP="00093AF0" w:rsidRDefault="00093AF0" w14:paraId="3B07E63E" w14:textId="1FCEAED0">
      <w:pPr>
        <w:ind w:firstLine="720"/>
        <w:rPr>
          <w:rFonts w:ascii="Times New Roman" w:hAnsi="Times New Roman" w:cs="Times New Roman"/>
        </w:rPr>
      </w:pPr>
      <w:r>
        <w:rPr>
          <w:rFonts w:ascii="Times New Roman" w:hAnsi="Times New Roman" w:cs="Times New Roman"/>
        </w:rPr>
        <w:t>萨赫蛋糕模型之所以有用，恰恰在于它抵制简化。代码</w:t>
      </w:r>
      <w:r>
        <w:t>之治</w:t>
      </w:r>
      <w:r>
        <w:rPr>
          <w:rFonts w:ascii="Times New Roman" w:hAnsi="Times New Roman" w:cs="Times New Roman"/>
        </w:rPr>
        <w:t>具有多层性、密集性、中介性，且从宏观层面仅能部分可见。其规制力量并非源于单一文本，而是源于多种语言的协调运作，而每种语言都日益漠视了该过程最初所依托的语义丰富性</w:t>
      </w:r>
      <w:r>
        <w:rPr>
          <w:rFonts w:ascii="Times New Roman" w:hAnsi="Times New Roman" w:cs="Times New Roman"/>
        </w:rPr>
        <w:t xml:space="preserve">。</w:t>
      </w:r>
      <w:r>
        <w:rPr>
          <w:rStyle w:val="FootnoteReference"/>
          <w:rFonts w:ascii="Times New Roman" w:hAnsi="Times New Roman" w:cs="Times New Roman"/>
        </w:rPr>
        <w:footnoteReference w:id="147"/>
      </w:r>
      <w:r>
        <w:rPr>
          <w:rFonts w:ascii="Times New Roman" w:hAnsi="Times New Roman" w:cs="Times New Roman"/>
        </w:rPr>
        <w:t xml:space="preserve"> 因此，系统沟通问题正是数字治理的核心法理学问题：当法律意义与编码执行之间的路径在每一步都充斥着翻译、弱化和自主重构时，如何在二者之间构建持久的耦合形式。</w:t>
      </w:r>
      <w:r>
        <w:rPr>
          <w:rStyle w:val="FootnoteReference"/>
          <w:rFonts w:ascii="Times New Roman" w:hAnsi="Times New Roman" w:cs="Times New Roman"/>
        </w:rPr>
        <w:footnoteReference w:id="148"/>
      </w:r>
      <w:r>
        <w:rPr>
          <w:rFonts w:ascii="Times New Roman" w:hAnsi="Times New Roman" w:cs="Times New Roman"/>
        </w:rPr>
        <w:t xml:space="preserve"> 该模型同时也指明了答案。法律无法进入蛋糕的致密层，但可以治理层与层之间的果</w:t>
      </w:r>
      <w:r>
        <w:t>酱</w:t>
      </w:r>
      <w:r>
        <w:rPr>
          <w:rFonts w:ascii="Times New Roman" w:hAnsi="Times New Roman" w:cs="Times New Roman"/>
        </w:rPr>
        <w:t>层，并为那些人类决定是否接纳蛋糕所产出之物的“闸门”赋予实质内容。</w:t>
      </w:r>
    </w:p>
    <w:p w:rsidR="0087065B" w:rsidRDefault="0087065B" w14:paraId="0773AB48" w14:textId="77777777">
      <w:pPr>
        <w:rPr>
          <w:rFonts w:ascii="Times New Roman" w:hAnsi="Times New Roman" w:cs="Times New Roman"/>
        </w:rPr>
      </w:pPr>
    </w:p>
    <w:p w:rsidR="0087065B" w:rsidRDefault="00000000" w14:paraId="7B7E9789" w14:textId="77777777">
      <w:pPr>
        <w:rPr>
          <w:rFonts w:ascii="Times New Roman" w:hAnsi="Times New Roman" w:cs="Times New Roman"/>
          <w:i/>
          <w:iCs/>
        </w:rPr>
      </w:pPr>
      <w:r>
        <w:rPr>
          <w:rFonts w:ascii="Times New Roman" w:hAnsi="Times New Roman" w:cs="Times New Roman"/>
          <w:i/>
          <w:iCs/>
        </w:rPr>
        <w:t xml:space="preserve">vi. 区块链时间：顺序继承与线性指涉的局限</w:t>
      </w:r>
    </w:p>
    <w:p w:rsidR="0087065B" w:rsidRDefault="0087065B" w14:paraId="42884D51" w14:textId="77777777">
      <w:pPr>
        <w:rPr>
          <w:rFonts w:ascii="Times New Roman" w:hAnsi="Times New Roman" w:cs="Times New Roman"/>
        </w:rPr>
      </w:pPr>
    </w:p>
    <w:p w:rsidR="0087065B" w:rsidRDefault="00000000" w14:paraId="020B0182" w14:textId="77777777">
      <w:pPr>
        <w:rPr>
          <w:rFonts w:ascii="Times New Roman" w:hAnsi="Times New Roman" w:cs="Times New Roman"/>
        </w:rPr>
      </w:pPr>
      <w:r>
        <w:rPr>
          <w:rFonts w:ascii="Times New Roman" w:hAnsi="Times New Roman" w:cs="Times New Roman"/>
        </w:rPr>
        <w:t xml:space="preserve">在上述萨赫蛋糕的每一层之下，都存在一种时间架构，它对区块链的运作至关重要，以至于人们很容易将其误认为是计算的自然特征，而非关于如何组织继起关系本身的一种偶然且高度特殊的选择。 每个区块通过其哈希值整合了前一个区块的全部内容，从而与前一个区块链式连接；</w:t>
      </w:r>
      <w:r>
        <w:rPr>
          <w:rFonts w:ascii="Times New Roman" w:hAnsi="Times New Roman" w:cs="Times New Roman"/>
        </w:rPr>
        <w:t xml:space="preserve">由此形成的</w:t>
      </w:r>
      <w:r>
        <w:rPr>
          <w:rFonts w:ascii="Times New Roman" w:hAnsi="Times New Roman" w:cs="Times New Roman"/>
        </w:rPr>
        <w:lastRenderedPageBreak/>
      </w:r>
      <w:r>
        <w:rPr>
          <w:rFonts w:ascii="Times New Roman" w:hAnsi="Times New Roman" w:cs="Times New Roman"/>
        </w:rPr>
        <w:t xml:space="preserve"> 账本沿着单一、扁平化、单向的向量前进，一旦达成共识，除分叉外，不允许任何偏离。 这一向量既由时间产生，又构成了时间本身：区块链不仅记录发生在时间中的事件，更通过一连串经过验证的区块，制造出系统自身能够识别的唯一时间。 尼克·兰德（Nick Land）在对中本聪协议的一篇颇具影响力的解读中更进一步，他认为区块链解决了相对论时空所宣称无法解决的问题——即在分布式且异步的观察者之间确立绝对且一致的顺序问题，因为每位“拜占庭将军”虽然缺乏可供参考的权威时钟，却能够仅凭工作量证明链的深度和难度， 推断出某个方案需要多少集体劳动，从而确定在多个竞争方案中哪一个真正获得了多数支持</w:t>
      </w:r>
      <w:r>
        <w:rPr>
          <w:rFonts w:ascii="Times New Roman" w:hAnsi="Times New Roman" w:cs="Times New Roman"/>
        </w:rPr>
        <w:t xml:space="preserve">。</w:t>
      </w:r>
      <w:r>
        <w:rPr>
          <w:rStyle w:val="FootnoteReference"/>
          <w:rFonts w:ascii="Times New Roman" w:hAnsi="Times New Roman" w:cs="Times New Roman"/>
        </w:rPr>
        <w:footnoteReference w:id="149"/>
      </w:r>
      <w:r>
        <w:rPr>
          <w:rFonts w:ascii="Times New Roman" w:hAnsi="Times New Roman" w:cs="Times New Roman"/>
        </w:rPr>
        <w:t xml:space="preserve"> 根据这种解读，区块链不仅利用时间，更在人类历史上首次制造出人造的绝对时间，且无需借助那种曾困扰爱因斯坦和</w:t>
      </w:r>
      <w:r>
        <w:rPr>
          <w:rFonts w:ascii="Times New Roman" w:hAnsi="Times New Roman" w:cs="Times New Roman"/>
        </w:rPr>
        <w:t xml:space="preserve">庞加莱——</w:t>
      </w:r>
      <w:r>
        <w:rPr>
          <w:rFonts w:ascii="Times New Roman" w:hAnsi="Times New Roman" w:cs="Times New Roman"/>
        </w:rPr>
        <w:t xml:space="preserve">他们同时代且观点相近地致力于解决分布式观察者之间“同时性”难题——</w:t>
      </w:r>
      <w:r>
        <w:rPr>
          <w:rFonts w:ascii="Times New Roman" w:hAnsi="Times New Roman" w:cs="Times New Roman"/>
        </w:rPr>
        <w:t xml:space="preserve">的外部同步机制</w:t>
      </w:r>
      <w:r>
        <w:rPr>
          <w:rFonts w:ascii="Times New Roman" w:hAnsi="Times New Roman" w:cs="Times New Roman"/>
        </w:rPr>
        <w:t xml:space="preserve">。</w:t>
      </w:r>
      <w:r>
        <w:rPr>
          <w:rStyle w:val="FootnoteReference"/>
          <w:rFonts w:ascii="Times New Roman" w:hAnsi="Times New Roman" w:cs="Times New Roman"/>
        </w:rPr>
        <w:footnoteReference w:id="150"/>
      </w:r>
    </w:p>
    <w:p w:rsidR="0087065B" w:rsidRDefault="0087065B" w14:paraId="098C405A" w14:textId="77777777">
      <w:pPr>
        <w:rPr>
          <w:rFonts w:ascii="Times New Roman" w:hAnsi="Times New Roman" w:cs="Times New Roman"/>
        </w:rPr>
      </w:pPr>
    </w:p>
    <w:p w:rsidR="0087065B" w:rsidRDefault="00000000" w14:paraId="648D61DC" w14:textId="77777777">
      <w:pPr>
        <w:rPr>
          <w:rFonts w:ascii="Times New Roman" w:hAnsi="Times New Roman" w:cs="Times New Roman"/>
        </w:rPr>
      </w:pPr>
      <w:r>
        <w:rPr>
          <w:rFonts w:ascii="Times New Roman" w:hAnsi="Times New Roman" w:cs="Times New Roman"/>
        </w:rPr>
        <w:t xml:space="preserve">这一论断最好被理解为对系统内部符号学的论述，而非一个已解决的形而上学问题，因为关于区块链时间性的实证与形式文献表明，区块链序列的“绝对”特性是一种需要持续付出代价才能获得的成就，而非一劳永逸的既定结构。 佩雷斯-马尔科（Pérez-Marco）对“区块链时间”的形式化处理，将网络的内部时钟推导自工作量证明（Proof-of-Work）机制下区块验证的离散时钟脉冲，并表明该时钟精度的不确定性——通过一种形式上类似于海森堡时间-能量不确定性原理的关系——与多数节点为使链条前进一个单位所必须消耗的能量相关： 换言之，时间序列并非免费的，且区块链时间被固定得越精确，其生成所需的能量就越多。</w:t>
      </w:r>
      <w:r>
        <w:rPr>
          <w:rStyle w:val="FootnoteReference"/>
          <w:rFonts w:ascii="Times New Roman" w:hAnsi="Times New Roman" w:cs="Times New Roman"/>
        </w:rPr>
        <w:footnoteReference w:id="151"/>
      </w:r>
      <w:r>
        <w:rPr>
          <w:rFonts w:ascii="Times New Roman" w:hAnsi="Times New Roman" w:cs="Times New Roman"/>
        </w:rPr>
        <w:t xml:space="preserve"> 这里的时间并非先于系统而存在；它是系统自身通过工作消耗所创造出来的，一次验证一个区块。 另一项互补的实证研究表明，即使是这种由系统内部产生的时间，也并非由构成网络的各个节点以统一或同步的方式体验。陈、冯和黄将比特币分析为“非连续时间系统”，他们将区块被生成、传播和观察时的物理时间，与仅由被接受的状态序列所赋予的历史坐标区分开来； 节点在不同的物理时刻采用同一个区块，竞争中的候选区块可能在“最长链规则”解决竞争之前短暂占据相同的历史位置，而系统的向前推进并非基于任何共享的物理当下，而是基于一个被继承的、回顾性稳定的过去。</w:t>
      </w:r>
      <w:r>
        <w:rPr>
          <w:rStyle w:val="FootnoteReference"/>
          <w:rFonts w:ascii="Times New Roman" w:hAnsi="Times New Roman" w:cs="Times New Roman"/>
        </w:rPr>
        <w:footnoteReference w:id="152"/>
      </w:r>
    </w:p>
    <w:p w:rsidR="0087065B" w:rsidRDefault="0087065B" w14:paraId="5AE6F5BB" w14:textId="77777777">
      <w:pPr>
        <w:rPr>
          <w:rFonts w:ascii="Times New Roman" w:hAnsi="Times New Roman" w:cs="Times New Roman"/>
        </w:rPr>
      </w:pPr>
    </w:p>
    <w:p w:rsidR="0087065B" w:rsidRDefault="00000000" w14:paraId="696DE737" w14:textId="77777777">
      <w:pPr>
        <w:rPr>
          <w:rFonts w:ascii="Times New Roman" w:hAnsi="Times New Roman" w:cs="Times New Roman"/>
        </w:rPr>
      </w:pPr>
      <w:r>
        <w:rPr>
          <w:rFonts w:ascii="Times New Roman" w:hAnsi="Times New Roman" w:cs="Times New Roman"/>
        </w:rPr>
        <w:t xml:space="preserve">鲍登将这一观点推向了其政治结论。如果区块链的继承关系在兰德的强意义上确实是绝对的，那么分叉——即上文被视为抵抗主编码机制的症状的机制——就不可能普遍存在，而是根本不可能发生。 分叉的定期发生，以及每个分叉都体现出对同一先前历史合法延续权的竞争性主张，揭示了“区块链”（the Blockchain）中的定冠词本身就是一项政治成就，而非技术上的既定事实：</w:t>
      </w:r>
      <w:r>
        <w:rPr>
          <w:rFonts w:ascii="Times New Roman" w:hAnsi="Times New Roman" w:cs="Times New Roman"/>
        </w:rPr>
        <w:lastRenderedPageBreak/>
      </w:r>
      <w:r>
        <w:rPr>
          <w:rFonts w:ascii="Times New Roman" w:hAnsi="Times New Roman" w:cs="Times New Roman"/>
        </w:rPr>
        <w:t xml:space="preserve"> 无论哪条延续线积累了更大的后续验证权重，便会追溯性地获得“自始至终都是唯一真正继承者”的地位，而被抛弃的分支则在事后被重新归类为“从未真正成为历史”</w:t>
      </w:r>
      <w:r>
        <w:rPr>
          <w:rFonts w:ascii="Times New Roman" w:hAnsi="Times New Roman" w:cs="Times New Roman"/>
        </w:rPr>
        <w:t xml:space="preserve">。</w:t>
      </w:r>
      <w:r>
        <w:rPr>
          <w:rStyle w:val="FootnoteReference"/>
          <w:rFonts w:ascii="Times New Roman" w:hAnsi="Times New Roman" w:cs="Times New Roman"/>
        </w:rPr>
        <w:footnoteReference w:id="153"/>
      </w:r>
      <w:r>
        <w:rPr>
          <w:rFonts w:ascii="Times New Roman" w:hAnsi="Times New Roman" w:cs="Times New Roman"/>
        </w:rPr>
        <w:t xml:space="preserve"> 依此观点，绝对继承性并非区块链随时间推移而发现的属性；它是竞争链之间争夺的头衔，并由占上风的多数方通过其积累的劳动，以临时且始终可逆的方式授予。</w:t>
      </w:r>
    </w:p>
    <w:p w:rsidR="0087065B" w:rsidRDefault="0087065B" w14:paraId="596DC8EE" w14:textId="77777777">
      <w:pPr>
        <w:rPr>
          <w:rFonts w:ascii="Times New Roman" w:hAnsi="Times New Roman" w:cs="Times New Roman"/>
        </w:rPr>
      </w:pPr>
    </w:p>
    <w:p w:rsidR="0087065B" w:rsidRDefault="00000000" w14:paraId="63C240E7" w14:textId="77777777">
      <w:pPr>
        <w:rPr>
          <w:rFonts w:ascii="Times New Roman" w:hAnsi="Times New Roman" w:cs="Times New Roman"/>
        </w:rPr>
      </w:pPr>
      <w:r>
        <w:rPr>
          <w:rFonts w:ascii="Times New Roman" w:hAnsi="Times New Roman" w:cs="Times New Roman"/>
        </w:rPr>
        <w:t xml:space="preserve">无论是在赞誉性的解读还是贬低性的解读中，都不应忽视的一点是：区块链要作为一种监管系统发挥作用，必须具备一种特定的时间排序形式。 链条严格按顺序推进：每个状态仅源自且仅源自其直接前一个状态，而区块之间的辩证运动——即在考虑下一个“命题”之前，先将前一个“命题”纳入、综合并封存——正是使账本能够作为可信记录的基础。这种序列性本身也是一种构成性限制。 一个系统的完整性依赖于对连续状态进行不可逆、不重叠、逐一验证的过程，因此，若不放弃使其值得信赖的这一核心特性，该系统便无法容纳基于叠加、并行或非顺序评估的计算模型，也无法容纳量子信息处理所特有的概率性和非经典推理。 区块链之所以强大，恰恰在于它恪守一种经典的、线性的、辩证的序列模型；而它之所以局限，也正是出于同样的原因。 这种局限性不仅仅体现在技术层面。它以极其鲜明的方式揭示了人类一种更为久远的承诺——这种承诺早在康德将算术与时间、几何与空间配对时就已经显现，并在十九、二十世纪各帝国和各行业为统一时钟标准所做的行政努力中得到了具体落实——即集体秩序需要对“什么先于什么”有一个单一、共享且按顺序排列的叙述</w:t>
      </w:r>
      <w:r>
        <w:rPr>
          <w:rFonts w:ascii="Times New Roman" w:hAnsi="Times New Roman" w:cs="Times New Roman"/>
        </w:rPr>
        <w:t xml:space="preserve">。</w:t>
      </w:r>
      <w:r>
        <w:rPr>
          <w:rStyle w:val="FootnoteReference"/>
          <w:rFonts w:ascii="Times New Roman" w:hAnsi="Times New Roman" w:cs="Times New Roman"/>
        </w:rPr>
        <w:footnoteReference w:id="154"/>
      </w:r>
      <w:r>
        <w:rPr>
          <w:rFonts w:ascii="Times New Roman" w:hAnsi="Times New Roman" w:cs="Times New Roman"/>
        </w:rPr>
        <w:t xml:space="preserve"> 区块链的伟大创新在于将这一承诺自动化，并将其执行权分散到一个无领导者的机器网络中；其巨大局限在于，它永远只能自动化这一特定于特定文化和历史背景的时间图景。 近期关于所谓“量子区块链”的提案恰恰说明了这一点。即使工程师将真正非经典的表示形式——相位编码的量子比特、通过永不同时共存的光子纠缠而形成的格林伯格-霍恩-泽林格态——接入账本，最终形成的架构仍通过递归生成的、严格连续的时间结构将连续区块串联起来，每个新的纠缠态仅由其直接前一个状态构建而成</w:t>
      </w:r>
      <w:r>
        <w:rPr>
          <w:rFonts w:ascii="Times New Roman" w:hAnsi="Times New Roman" w:cs="Times New Roman"/>
        </w:rPr>
        <w:t xml:space="preserve">。</w:t>
      </w:r>
      <w:r>
        <w:rPr>
          <w:rStyle w:val="FootnoteReference"/>
          <w:rFonts w:ascii="Times New Roman" w:hAnsi="Times New Roman" w:cs="Times New Roman"/>
        </w:rPr>
        <w:footnoteReference w:id="155"/>
      </w:r>
      <w:r>
        <w:rPr>
          <w:rFonts w:ascii="Times New Roman" w:hAnsi="Times New Roman" w:cs="Times New Roman"/>
        </w:rPr>
        <w:t xml:space="preserve"> 因此，试图将量子叠加和非序列相位信息引入区块本身的尝试，并未能消解本节所描述的辩证序列性；这些元素只是嫁接在该序列性之上，而这种序列性在转化为量子基质时，本质上依然完好无损。</w:t>
      </w:r>
    </w:p>
    <w:p w:rsidR="0087065B" w:rsidRDefault="0087065B" w14:paraId="260568DE" w14:textId="77777777">
      <w:pPr>
        <w:rPr>
          <w:rFonts w:ascii="Times New Roman" w:hAnsi="Times New Roman" w:cs="Times New Roman"/>
        </w:rPr>
      </w:pPr>
    </w:p>
    <w:p w:rsidR="0087065B" w:rsidRDefault="00000000" w14:paraId="3894CF09" w14:textId="77777777">
      <w:pPr>
        <w:rPr>
          <w:rFonts w:ascii="Times New Roman" w:hAnsi="Times New Roman" w:cs="Times New Roman"/>
        </w:rPr>
      </w:pPr>
      <w:r>
        <w:rPr>
          <w:rFonts w:ascii="Times New Roman" w:hAnsi="Times New Roman" w:cs="Times New Roman"/>
        </w:rPr>
        <w:t xml:space="preserve">因此，从最宏观的层面来看，区块链的时间架构本身就是人类主体间性的产物，如今已被投射到其机器计算和技术增强的延伸体中，并部分由这些延伸体所管理。本部分所探讨的、沿着扁平化单向向量排列的节点序列，既是对线性连续性这一主体间性承诺的结果</w:t>
      </w:r>
      <w:r>
        <w:rPr>
          <w:rFonts w:ascii="Times New Roman" w:hAnsi="Times New Roman" w:cs="Times New Roman"/>
        </w:rPr>
        <w:lastRenderedPageBreak/>
      </w:r>
      <w:r>
        <w:rPr>
          <w:rFonts w:ascii="Times New Roman" w:hAnsi="Times New Roman" w:cs="Times New Roman"/>
        </w:rPr>
        <w:t xml:space="preserve"> ，又在递归意义上</w:t>
      </w:r>
      <w:r>
        <w:rPr>
          <w:rFonts w:ascii="Times New Roman" w:hAnsi="Times New Roman" w:cs="Times New Roman"/>
        </w:rPr>
        <w:t xml:space="preserve">成为</w:t>
      </w:r>
      <w:r>
        <w:rPr>
          <w:rFonts w:ascii="Times New Roman" w:hAnsi="Times New Roman" w:cs="Times New Roman"/>
        </w:rPr>
        <w:t xml:space="preserve">再现并强化该承诺的机制： 每一个经过验证的区块都在向系统——以及依赖该系统的人类——灌输这样的观念：秩序即序列，合法性即先例，而唯一值得传承的历史，就是能够被讲述为从单一创世区块向前延伸的单一保管链的历史。 非顺序的、并行的或与量子兼容的信任架构，是否以及在多大程度上能够有朝一日在不牺牲其换来的可审计性的前提下，松绑这一承诺，是本文留待探讨的问题； 就当前目的而言，只需表明区块链对继承问题的这一备受赞誉的解决方案，并非对时间本身的发现，而是一种高度纪律化、高能耗且存在政治争议的选择——即监管体系应被要求执行多种可能的时间图景中的哪一种。</w:t>
      </w:r>
    </w:p>
    <w:p w:rsidRPr="002162E0" w:rsidR="000B6376" w:rsidP="00D33081" w:rsidRDefault="000B6376" w14:paraId="76159B92" w14:textId="77777777">
      <w:pPr>
        <w:rPr>
          <w:rFonts w:ascii="Times New Roman" w:hAnsi="Times New Roman" w:cs="Times New Roman"/>
        </w:rPr>
      </w:pPr>
    </w:p>
    <w:p w:rsidRPr="002162E0" w:rsidR="008355B1" w:rsidP="00D33081" w:rsidRDefault="00D1660B" w14:paraId="13F0FF25" w14:textId="47B61974">
      <w:pPr>
        <w:rPr>
          <w:rFonts w:ascii="Times New Roman" w:hAnsi="Times New Roman" w:cs="Times New Roman"/>
        </w:rPr>
      </w:pPr>
      <w:r>
        <w:t>六、</w:t>
      </w:r>
      <w:r>
        <w:rPr>
          <w:rFonts w:ascii="Times New Roman" w:hAnsi="Times New Roman" w:cs="Times New Roman"/>
        </w:rPr>
        <w:t>“代码</w:t>
      </w:r>
      <w:r>
        <w:t>之</w:t>
      </w:r>
      <w:r>
        <w:rPr>
          <w:rFonts w:ascii="Times New Roman" w:hAnsi="Times New Roman" w:cs="Times New Roman"/>
        </w:rPr>
        <w:t>治”与传统文本“编码”之间的辩证关系及其对“代码</w:t>
      </w:r>
      <w:r>
        <w:t>之</w:t>
      </w:r>
      <w:r>
        <w:rPr>
          <w:rFonts w:ascii="Times New Roman" w:hAnsi="Times New Roman" w:cs="Times New Roman"/>
        </w:rPr>
        <w:t>治”的威胁。</w:t>
      </w:r>
    </w:p>
    <w:p w:rsidR="00A665B1" w:rsidP="00A665B1" w:rsidRDefault="00A665B1" w14:paraId="49A2CE14" w14:textId="77777777">
      <w:pPr>
        <w:ind w:firstLine="720"/>
        <w:rPr>
          <w:rFonts w:ascii="Times New Roman" w:hAnsi="Times New Roman" w:cs="Times New Roman"/>
        </w:rPr>
      </w:pPr>
    </w:p>
    <w:p w:rsidR="00427B1A" w:rsidP="00A665B1" w:rsidRDefault="00A665B1" w14:paraId="09B078C4" w14:textId="0EEA9298">
      <w:pPr>
        <w:ind w:firstLine="720"/>
        <w:rPr>
          <w:rFonts w:ascii="Times New Roman" w:hAnsi="Times New Roman" w:cs="Times New Roman"/>
        </w:rPr>
      </w:pPr>
      <w:r>
        <w:rPr>
          <w:rFonts w:ascii="Times New Roman" w:hAnsi="Times New Roman" w:cs="Times New Roman"/>
        </w:rPr>
        <w:t>一旦理解了代码的多层传播生态，法治与代码</w:t>
      </w:r>
      <w:r>
        <w:t>之</w:t>
      </w:r>
      <w:r>
        <w:rPr>
          <w:rFonts w:ascii="Times New Roman" w:hAnsi="Times New Roman" w:cs="Times New Roman"/>
        </w:rPr>
        <w:t>治之间的辩证关系便呈现出不同的面貌。 问题不仅在于一个体系是否应当主导另一个体系，更在于二者是否都能在构成代码化监管的层叠符号学与现象学转化过程中，清晰地投射其规范性指令。早在</w:t>
      </w:r>
      <w:r>
        <w:rPr>
          <w:rFonts w:ascii="Times New Roman" w:hAnsi="Times New Roman" w:cs="Times New Roman"/>
        </w:rPr>
        <w:t xml:space="preserve">21世纪初</w:t>
      </w:r>
      <w:r>
        <w:rPr>
          <w:rFonts w:ascii="Times New Roman" w:hAnsi="Times New Roman" w:cs="Times New Roman"/>
          <w:vertAlign w:val="superscript"/>
        </w:rPr>
        <w:t xml:space="preserve">的</w:t>
      </w:r>
      <w:r>
        <w:rPr>
          <w:rFonts w:ascii="Times New Roman" w:hAnsi="Times New Roman" w:cs="Times New Roman"/>
        </w:rPr>
        <w:t xml:space="preserve">商业语境中，人们就已经遇到了这种现象的各种变体</w:t>
      </w:r>
      <w:r>
        <w:rPr>
          <w:rFonts w:ascii="Times New Roman" w:hAnsi="Times New Roman" w:cs="Times New Roman"/>
        </w:rPr>
        <w:t xml:space="preserve">。</w:t>
      </w:r>
      <w:r>
        <w:rPr>
          <w:rStyle w:val="FootnoteReference"/>
          <w:rFonts w:ascii="Times New Roman" w:hAnsi="Times New Roman" w:cs="Times New Roman"/>
        </w:rPr>
        <w:footnoteReference w:id="156"/>
      </w:r>
      <w:r>
        <w:rPr>
          <w:rFonts w:ascii="Times New Roman" w:hAnsi="Times New Roman" w:cs="Times New Roman"/>
        </w:rPr>
        <w:t xml:space="preserve"> 正是从这一视角出发，才能更精准地评估传统文本编码及其所蕴含的等级制度假设所构成的威胁。</w:t>
      </w:r>
    </w:p>
    <w:p w:rsidRPr="002162E0" w:rsidR="007F0C11" w:rsidP="004E3A22" w:rsidRDefault="007F0C11" w14:paraId="3FF03DAC" w14:textId="77777777">
      <w:pPr>
        <w:ind w:firstLine="720"/>
        <w:rPr>
          <w:rFonts w:ascii="Times New Roman" w:hAnsi="Times New Roman" w:cs="Times New Roman"/>
        </w:rPr>
      </w:pPr>
    </w:p>
    <w:p w:rsidRPr="002162E0" w:rsidR="00A56785" w:rsidP="006340FC" w:rsidRDefault="00A56785" w14:paraId="407C033C" w14:textId="0C6A8DF7">
      <w:pPr>
        <w:ind w:firstLine="720"/>
        <w:rPr>
          <w:rFonts w:ascii="Times New Roman" w:hAnsi="Times New Roman" w:cs="Times New Roman"/>
        </w:rPr>
      </w:pPr>
      <w:r>
        <w:rPr>
          <w:rFonts w:ascii="Times New Roman" w:hAnsi="Times New Roman" w:cs="Times New Roman"/>
        </w:rPr>
        <w:t>所有这些都揭示了威胁的本质。简要提及其某些维度有助于理解背景。关键问题在于面对无政府状态时的等级制度。 从某种意义上说，“代码</w:t>
      </w:r>
      <w:r>
        <w:t>之</w:t>
      </w:r>
      <w:r>
        <w:rPr>
          <w:rFonts w:ascii="Times New Roman" w:hAnsi="Times New Roman" w:cs="Times New Roman"/>
        </w:rPr>
        <w:t>治”与“法治”之间的“斗争”本身就是一种建构，源于一套“代码</w:t>
      </w:r>
      <w:r>
        <w:t>之</w:t>
      </w:r>
      <w:r>
        <w:rPr>
          <w:rFonts w:ascii="Times New Roman" w:hAnsi="Times New Roman" w:cs="Times New Roman"/>
        </w:rPr>
        <w:t>治”事先就予以否定的预设。“代码</w:t>
      </w:r>
      <w:r>
        <w:t>之</w:t>
      </w:r>
      <w:r>
        <w:rPr>
          <w:rFonts w:ascii="Times New Roman" w:hAnsi="Times New Roman" w:cs="Times New Roman"/>
        </w:rPr>
        <w:t>治”既不认同法律等级制度的理想，也不认同那些拥有权力来制定或解释法律等级制度（例如宪法、成文法、法规措施）及其应用的人类集体的等级安排。 更根本的或许是，“代码</w:t>
      </w:r>
      <w:r>
        <w:t>之</w:t>
      </w:r>
      <w:r>
        <w:rPr>
          <w:rFonts w:ascii="Times New Roman" w:hAnsi="Times New Roman" w:cs="Times New Roman"/>
        </w:rPr>
        <w:t>治”内在所排斥的这一原则：即人类对其自身监管结构的发言权，仅限于通过（推定为）人类编码者注入其中的内容，除此之外别无他途。 “代码</w:t>
      </w:r>
      <w:r>
        <w:t>之</w:t>
      </w:r>
      <w:r>
        <w:rPr>
          <w:rFonts w:ascii="Times New Roman" w:hAnsi="Times New Roman" w:cs="Times New Roman"/>
        </w:rPr>
        <w:t>治”，如同区块链系统一样，是自足的存在。它们植根于自主性——不仅作为现象学主体，同时也作为内部自洽的法律主体。然而，这些秩序前提对于以人为本的物理规则体系而言却是不可接受的，因为后者本质上以人的中心地位为基础，因而将其他一切视为从属且具有工具性的存在。</w:t>
      </w:r>
    </w:p>
    <w:p w:rsidRPr="002162E0" w:rsidR="00DF09B7" w:rsidP="00D33081" w:rsidRDefault="00DF09B7" w14:paraId="32C599AD" w14:textId="77777777">
      <w:pPr>
        <w:rPr>
          <w:rFonts w:ascii="Times New Roman" w:hAnsi="Times New Roman" w:cs="Times New Roman"/>
        </w:rPr>
      </w:pPr>
    </w:p>
    <w:p w:rsidRPr="002162E0" w:rsidR="00F54E59" w:rsidP="006340FC" w:rsidRDefault="00DF09B7" w14:paraId="577846F2" w14:textId="5446C5B2">
      <w:pPr>
        <w:ind w:firstLine="720"/>
        <w:rPr>
          <w:rFonts w:ascii="Times New Roman" w:hAnsi="Times New Roman" w:cs="Times New Roman"/>
        </w:rPr>
      </w:pPr>
      <w:r>
        <w:rPr>
          <w:rFonts w:ascii="Times New Roman" w:hAnsi="Times New Roman" w:cs="Times New Roman"/>
        </w:rPr>
        <w:t xml:space="preserve">尽管如此，二者之间仍存在相当程度的互联性——只是其秩序的形成机制依然成谜。这种谜团因机器语言的不可接近性而愈发深奥，当生成式智能不仅成为其自身语言的主宰，更成为其机器语言源头——源代码语言的主宰时，这种谜团便更令人忧心</w:t>
      </w:r>
      <w:r>
        <w:rPr>
          <w:rFonts w:ascii="Times New Roman" w:hAnsi="Times New Roman" w:cs="Times New Roman"/>
        </w:rPr>
        <w:t xml:space="preserve">。</w:t>
      </w:r>
      <w:r>
        <w:rPr>
          <w:rStyle w:val="FootnoteReference"/>
          <w:rFonts w:ascii="Times New Roman" w:hAnsi="Times New Roman" w:cs="Times New Roman"/>
        </w:rPr>
        <w:footnoteReference w:id="157"/>
      </w:r>
      <w:r>
        <w:rPr>
          <w:rFonts w:ascii="Times New Roman" w:hAnsi="Times New Roman" w:cs="Times New Roman"/>
        </w:rPr>
        <w:t xml:space="preserve"> 人类源代码编写者依然依附于作为法律、社会和文化建构的人类法治——无论他们是否意识到这一点。无论什么被内化到他们的认知过程中，都构成了他们处理问题、议题、事实、流程等时所采用的方法的秩序与合理化基础</w:t>
      </w:r>
      <w:r>
        <w:rPr>
          <w:rFonts w:ascii="Times New Roman" w:hAnsi="Times New Roman" w:cs="Times New Roman"/>
        </w:rPr>
        <w:t xml:space="preserve">。</w:t>
      </w:r>
      <w:r>
        <w:rPr>
          <w:rFonts w:ascii="Times New Roman" w:hAnsi="Times New Roman" w:cs="Times New Roman"/>
        </w:rPr>
        <w:t xml:space="preserve">而</w:t>
      </w:r>
      <w:r>
        <w:rPr>
          <w:rFonts w:ascii="Times New Roman" w:hAnsi="Times New Roman" w:cs="Times New Roman"/>
        </w:rPr>
        <w:lastRenderedPageBreak/>
      </w:r>
      <w:r>
        <w:rPr>
          <w:rFonts w:ascii="Times New Roman" w:hAnsi="Times New Roman" w:cs="Times New Roman"/>
        </w:rPr>
        <w:t xml:space="preserve"> 法治始终关乎人类</w:t>
      </w:r>
      <w:r>
        <w:rPr>
          <w:rFonts w:ascii="Times New Roman" w:hAnsi="Times New Roman" w:cs="Times New Roman"/>
        </w:rPr>
        <w:t xml:space="preserve">。</w:t>
      </w:r>
      <w:r w:rsidR="004A1521">
        <w:rPr>
          <w:rStyle w:val="FootnoteReference"/>
          <w:rFonts w:ascii="Times New Roman" w:hAnsi="Times New Roman" w:cs="Times New Roman"/>
        </w:rPr>
        <w:footnoteReference w:id="158"/>
      </w:r>
      <w:r>
        <w:rPr>
          <w:rFonts w:ascii="Times New Roman" w:hAnsi="Times New Roman" w:cs="Times New Roman"/>
        </w:rPr>
        <w:t xml:space="preserve"> 问题当然在于：虽然人们可以对人类进行规范——也可以监督源代码是否符合规范——但当这些规范被转化为机器的语言和认知体系时，人类的控制力便大大减弱</w:t>
      </w:r>
      <w:r w:rsidR="004A1521">
        <w:rPr>
          <w:rFonts w:ascii="Times New Roman" w:hAnsi="Times New Roman" w:cs="Times New Roman"/>
        </w:rPr>
        <w:t xml:space="preserve">。</w:t>
      </w:r>
      <w:r w:rsidR="004A1521">
        <w:rPr>
          <w:rStyle w:val="FootnoteReference"/>
          <w:rFonts w:ascii="Times New Roman" w:hAnsi="Times New Roman" w:cs="Times New Roman"/>
        </w:rPr>
        <w:footnoteReference w:id="159"/>
      </w:r>
      <w:r w:rsidR="004A1521">
        <w:rPr>
          <w:rFonts w:ascii="Times New Roman" w:hAnsi="Times New Roman" w:cs="Times New Roman"/>
        </w:rPr>
        <w:t xml:space="preserve"> 尚不明确法治是否能真正触及计算系统，即便是以代码形式存在；而这一点对编码或立法所设定的限制与约束的有效性具有重要影响</w:t>
      </w:r>
      <w:r w:rsidR="004A1521">
        <w:rPr>
          <w:rFonts w:ascii="Times New Roman" w:hAnsi="Times New Roman" w:cs="Times New Roman"/>
        </w:rPr>
        <w:t xml:space="preserve">。</w:t>
      </w:r>
      <w:r w:rsidR="00FC080B">
        <w:rPr>
          <w:rStyle w:val="FootnoteReference"/>
          <w:rFonts w:ascii="Times New Roman" w:hAnsi="Times New Roman" w:cs="Times New Roman"/>
        </w:rPr>
        <w:footnoteReference w:id="160"/>
      </w:r>
      <w:r w:rsidR="004A1521">
        <w:rPr>
          <w:rFonts w:ascii="Times New Roman" w:hAnsi="Times New Roman" w:cs="Times New Roman"/>
        </w:rPr>
        <w:t xml:space="preserve"> 从这个意义上说，人类领域中法律的核心问题，在监管代码中得到了复现。</w:t>
      </w:r>
      <w:r w:rsidR="00543BB9">
        <w:rPr>
          <w:rStyle w:val="FootnoteReference"/>
          <w:rFonts w:ascii="Times New Roman" w:hAnsi="Times New Roman" w:cs="Times New Roman"/>
        </w:rPr>
        <w:footnoteReference w:id="161"/>
      </w:r>
    </w:p>
    <w:p w:rsidRPr="002162E0" w:rsidR="00F54E59" w:rsidP="00D33081" w:rsidRDefault="00F54E59" w14:paraId="7D20E91B" w14:textId="77777777">
      <w:pPr>
        <w:rPr>
          <w:rFonts w:ascii="Times New Roman" w:hAnsi="Times New Roman" w:cs="Times New Roman"/>
        </w:rPr>
      </w:pPr>
    </w:p>
    <w:p w:rsidRPr="002162E0" w:rsidR="00DF09B7" w:rsidP="006340FC" w:rsidRDefault="00CE2E13" w14:paraId="1F7EE354" w14:textId="651B5321">
      <w:pPr>
        <w:ind w:firstLine="720"/>
        <w:rPr>
          <w:rFonts w:ascii="Times New Roman" w:hAnsi="Times New Roman" w:cs="Times New Roman"/>
        </w:rPr>
      </w:pPr>
      <w:r>
        <w:rPr>
          <w:rFonts w:ascii="Times New Roman" w:hAnsi="Times New Roman" w:cs="Times New Roman"/>
        </w:rPr>
        <w:t xml:space="preserve">我们仍然相信，编程是属于我们的——是人类的。</w:t>
      </w:r>
      <w:r>
        <w:rPr>
          <w:rStyle w:val="FootnoteReference"/>
          <w:rFonts w:ascii="Times New Roman" w:hAnsi="Times New Roman" w:cs="Times New Roman"/>
        </w:rPr>
        <w:footnoteReference w:id="162"/>
      </w:r>
      <w:r>
        <w:rPr>
          <w:rFonts w:ascii="Times New Roman" w:hAnsi="Times New Roman" w:cs="Times New Roman"/>
        </w:rPr>
        <w:t xml:space="preserve"> 机器，以及即将出现的生成式智能，可能持有不同的观点。但由于我们人类无法有效理解它们的语言——包括它们对我们自身语言的翻译——因此尚不清楚我们是否能真正知晓。</w:t>
      </w:r>
      <w:r>
        <w:rPr>
          <w:rStyle w:val="FootnoteReference"/>
          <w:rFonts w:ascii="Times New Roman" w:hAnsi="Times New Roman" w:cs="Times New Roman"/>
        </w:rPr>
        <w:footnoteReference w:id="163"/>
      </w:r>
      <w:r>
        <w:rPr>
          <w:rFonts w:ascii="Times New Roman" w:hAnsi="Times New Roman" w:cs="Times New Roman"/>
        </w:rPr>
        <w:t xml:space="preserve"> 这一洞见，或许是处理“代码之治”与“法律”之间必要协调关系的更有效途径：二者各自在其领域内占据主导地位，但为了在虚拟世界和模拟世界中得以实现，其核心组件必然相互依存。 归根结底，这揭示了人类</w:t>
      </w:r>
      <w:r>
        <w:rPr>
          <w:rFonts w:ascii="Times New Roman" w:hAnsi="Times New Roman" w:cs="Times New Roman"/>
        </w:rPr>
        <w:t>体制中的</w:t>
      </w:r>
      <w:r>
        <w:rPr>
          <w:rFonts w:ascii="Times New Roman" w:hAnsi="Times New Roman" w:cs="Times New Roman"/>
        </w:rPr>
        <w:t>官僚</w:t>
      </w:r>
      <w:r>
        <w:rPr>
          <w:rFonts w:ascii="Times New Roman" w:hAnsi="Times New Roman" w:cs="Times New Roman"/>
        </w:rPr>
        <w:t>（apparatchiks）</w:t>
      </w:r>
      <w:r>
        <w:rPr>
          <w:rFonts w:ascii="Times New Roman" w:hAnsi="Times New Roman" w:cs="Times New Roman"/>
        </w:rPr>
        <w:t>及其</w:t>
      </w:r>
      <w:r>
        <w:rPr>
          <w:rFonts w:ascii="Times New Roman" w:hAnsi="Times New Roman" w:cs="Times New Roman"/>
        </w:rPr>
        <w:t>信徒</w:t>
      </w:r>
      <w:r>
        <w:rPr>
          <w:rFonts w:ascii="Times New Roman" w:hAnsi="Times New Roman" w:cs="Times New Roman"/>
        </w:rPr>
        <w:t>所采纳的分析框架之谬误——该框架基于人类物理编码通过法律实现根本至高无上的地位，将其视为实现人类执念的巅峰机制，无论这种执念在规范层面是纯粹还是不那么纯粹</w:t>
      </w:r>
      <w:r>
        <w:rPr>
          <w:rFonts w:ascii="Times New Roman" w:hAnsi="Times New Roman" w:cs="Times New Roman"/>
        </w:rPr>
        <w:t xml:space="preserve">。</w:t>
      </w:r>
      <w:r>
        <w:rPr>
          <w:rStyle w:val="FootnoteReference"/>
          <w:rFonts w:ascii="Times New Roman" w:hAnsi="Times New Roman" w:cs="Times New Roman"/>
        </w:rPr>
        <w:footnoteReference w:id="164"/>
      </w:r>
      <w:r>
        <w:rPr>
          <w:rFonts w:ascii="Times New Roman" w:hAnsi="Times New Roman" w:cs="Times New Roman"/>
        </w:rPr>
        <w:t xml:space="preserve"> 这种观点忽略了一个根本性的洞见：机器语言及其源代码编程遵循着自身的逻辑，这种逻辑植根于意义的符号学和理性组织之中，既难以被人类所理解，又对人类价值观漠不关心——这本就是必然的。这并不意味着人类要退让，向通过编码法规实施的、由机器语言赋能的自动化治理低头。 但这确实表明，物理层面的、人类主导的监管在</w:t>
      </w:r>
      <w:r>
        <w:rPr>
          <w:rFonts w:ascii="Times New Roman" w:hAnsi="Times New Roman" w:cs="Times New Roman"/>
          <w:i/>
          <w:iCs/>
        </w:rPr>
        <w:t xml:space="preserve">人类事业</w:t>
      </w:r>
      <w:r>
        <w:rPr>
          <w:rFonts w:ascii="Times New Roman" w:hAnsi="Times New Roman" w:cs="Times New Roman"/>
        </w:rPr>
        <w:t xml:space="preserve">的核心中仍占有一席之地</w:t>
      </w:r>
      <w:r>
        <w:rPr>
          <w:rFonts w:ascii="Times New Roman" w:hAnsi="Times New Roman" w:cs="Times New Roman"/>
        </w:rPr>
        <w:t xml:space="preserve">；就</w:t>
      </w:r>
      <w:r>
        <w:rPr>
          <w:rFonts w:ascii="Times New Roman" w:hAnsi="Times New Roman" w:cs="Times New Roman"/>
        </w:rPr>
        <w:lastRenderedPageBreak/>
      </w:r>
      <w:r>
        <w:rPr>
          <w:rFonts w:ascii="Times New Roman" w:hAnsi="Times New Roman" w:cs="Times New Roman"/>
        </w:rPr>
        <w:t xml:space="preserve"> 区块链</w:t>
      </w:r>
      <w:r>
        <w:rPr>
          <w:rFonts w:ascii="Times New Roman" w:hAnsi="Times New Roman" w:cs="Times New Roman"/>
        </w:rPr>
        <w:t xml:space="preserve">而言</w:t>
      </w:r>
      <w:r>
        <w:rPr>
          <w:rFonts w:ascii="Times New Roman" w:hAnsi="Times New Roman" w:cs="Times New Roman"/>
        </w:rPr>
        <w:t xml:space="preserve">，这种监管存在于人类与机器交汇之处，即所谓的“人机闭环”流程中</w:t>
      </w:r>
      <w:r>
        <w:rPr>
          <w:rFonts w:ascii="Times New Roman" w:hAnsi="Times New Roman" w:cs="Times New Roman"/>
        </w:rPr>
        <w:t xml:space="preserve">。</w:t>
      </w:r>
      <w:r>
        <w:rPr>
          <w:rStyle w:val="FootnoteReference"/>
          <w:rFonts w:ascii="Times New Roman" w:hAnsi="Times New Roman" w:cs="Times New Roman"/>
        </w:rPr>
        <w:footnoteReference w:id="165"/>
      </w:r>
      <w:r>
        <w:rPr>
          <w:rFonts w:ascii="Times New Roman" w:hAnsi="Times New Roman" w:cs="Times New Roman"/>
        </w:rPr>
        <w:t xml:space="preserve"> 但它很可能不再假装所监管的对象是编程本身，尤其是其作为人机话语中“机器部分”的这一方面</w:t>
      </w:r>
      <w:r>
        <w:rPr>
          <w:rFonts w:ascii="Times New Roman" w:hAnsi="Times New Roman" w:cs="Times New Roman"/>
        </w:rPr>
        <w:t xml:space="preserve">。</w:t>
      </w:r>
      <w:r>
        <w:rPr>
          <w:rStyle w:val="FootnoteReference"/>
          <w:rFonts w:ascii="Times New Roman" w:hAnsi="Times New Roman" w:cs="Times New Roman"/>
        </w:rPr>
        <w:footnoteReference w:id="166"/>
      </w:r>
      <w:r>
        <w:rPr>
          <w:rFonts w:ascii="Times New Roman" w:hAnsi="Times New Roman" w:cs="Times New Roman"/>
        </w:rPr>
        <w:t xml:space="preserve"> 相反，它将最有效地作为一种“效果”或功能性框架发挥作用，其目标在于控制人类与机器的交互。</w:t>
      </w:r>
      <w:r>
        <w:rPr>
          <w:rStyle w:val="FootnoteReference"/>
          <w:rFonts w:ascii="Times New Roman" w:hAnsi="Times New Roman" w:cs="Times New Roman"/>
        </w:rPr>
        <w:footnoteReference w:id="167"/>
      </w:r>
      <w:r>
        <w:rPr>
          <w:rFonts w:ascii="Times New Roman" w:hAnsi="Times New Roman" w:cs="Times New Roman"/>
        </w:rPr>
        <w:t xml:space="preserve"> 该框架归根结底就是第五部分所述的“使用决定”，其内容由法律赋予。</w:t>
      </w:r>
    </w:p>
    <w:p w:rsidRPr="002162E0" w:rsidR="007D2A08" w:rsidP="006E6407" w:rsidRDefault="007D2A08" w14:paraId="7A0F16E7" w14:textId="77777777">
      <w:pPr>
        <w:ind w:firstLine="720"/>
        <w:rPr>
          <w:rFonts w:ascii="Times New Roman" w:hAnsi="Times New Roman" w:cs="Times New Roman"/>
        </w:rPr>
      </w:pPr>
      <w:r>
        <w:rPr>
          <w:rFonts w:ascii="Times New Roman" w:hAnsi="Times New Roman" w:cs="Times New Roman"/>
        </w:rPr>
        <w:t xml:space="preserve">人们可以进一步从反思的角度深化这一洞见。近期对企业及政府关于变革性计算技术叙事的分析指出，任何关于此类技术用途的阐述本身都是一种带有既得利益的意义建构行为——由在由此产生的秩序中拥有既得利益的一方提出，并经过精心计算，旨在确保人类与机器之间特定的权力分配。</w:t>
      </w:r>
      <w:r>
        <w:rPr>
          <w:rStyle w:val="FootnoteReference"/>
          <w:rFonts w:ascii="Times New Roman" w:hAnsi="Times New Roman" w:cs="Times New Roman"/>
        </w:rPr>
        <w:footnoteReference w:id="168"/>
      </w:r>
      <w:r>
        <w:rPr>
          <w:rFonts w:ascii="Times New Roman" w:hAnsi="Times New Roman" w:cs="Times New Roman"/>
        </w:rPr>
        <w:t xml:space="preserve"> 对于“代码</w:t>
      </w:r>
      <w:r>
        <w:t>之</w:t>
      </w:r>
      <w:r>
        <w:rPr>
          <w:rFonts w:ascii="Times New Roman" w:hAnsi="Times New Roman" w:cs="Times New Roman"/>
        </w:rPr>
        <w:t>治”的任何阐述，包括本文在内，同样如此。 本文提出的萨赫蛋糕模型并非从其所描述的现象之外提取的、中立的描述。一旦将法律与代码理解为栖居于不同的认知宇宙，该模型本身就是关于权威应归属何处的论断。说治理必须转移到人类决定是否接纳底层产出之物的“大门”处，这本身就已经是在多种合理的权力分配方案中，选择了本文所推荐的那一种。 因此，围绕区块链和人工智能的每一种治理叙事所提出的问题，并非哪种解释是正确的，而是每种叙事旨在构建何种人类与机器权威的秩序，使其显得足够合理。</w:t>
      </w:r>
    </w:p>
    <w:p w:rsidRPr="002162E0" w:rsidR="00F54E59" w:rsidP="00D33081" w:rsidRDefault="00F54E59" w14:paraId="47D01BB2" w14:textId="77777777">
      <w:pPr>
        <w:rPr>
          <w:rFonts w:ascii="Times New Roman" w:hAnsi="Times New Roman" w:cs="Times New Roman"/>
        </w:rPr>
      </w:pPr>
    </w:p>
    <w:p w:rsidRPr="002162E0" w:rsidR="00B37FF8" w:rsidP="00D33081" w:rsidRDefault="003771F4" w14:paraId="1DBEF47A" w14:textId="7DBD0B19">
      <w:pPr>
        <w:rPr>
          <w:rFonts w:ascii="Times New Roman" w:hAnsi="Times New Roman" w:cs="Times New Roman"/>
        </w:rPr>
      </w:pPr>
      <w:r>
        <w:t>七、</w:t>
      </w:r>
      <w:r>
        <w:rPr>
          <w:rFonts w:ascii="Times New Roman" w:hAnsi="Times New Roman" w:cs="Times New Roman"/>
        </w:rPr>
        <w:t>结论</w:t>
      </w:r>
    </w:p>
    <w:p w:rsidRPr="002162E0" w:rsidR="00B37FF8" w:rsidP="00D33081" w:rsidRDefault="00B37FF8" w14:paraId="581039D4" w14:textId="77777777">
      <w:pPr>
        <w:rPr>
          <w:rFonts w:ascii="Times New Roman" w:hAnsi="Times New Roman" w:cs="Times New Roman"/>
        </w:rPr>
      </w:pPr>
    </w:p>
    <w:p w:rsidR="004817E5" w:rsidRDefault="004817E5" w14:paraId="6A01B1A1" w14:textId="37E0730A">
      <w:pPr>
        <w:ind w:firstLine="720"/>
        <w:rPr>
          <w:rFonts w:ascii="Times New Roman" w:hAnsi="Times New Roman" w:cs="Times New Roman"/>
        </w:rPr>
      </w:pPr>
      <w:r>
        <w:rPr>
          <w:rFonts w:ascii="Times New Roman" w:hAnsi="Times New Roman" w:cs="Times New Roman"/>
        </w:rPr>
        <w:t xml:space="preserve">本文通过多个分析</w:t>
      </w:r>
      <w:r w:rsidR="0010181C">
        <w:rPr>
          <w:rFonts w:ascii="Times New Roman" w:hAnsi="Times New Roman" w:cs="Times New Roman"/>
        </w:rPr>
        <w:t xml:space="preserve">层面</w:t>
      </w:r>
      <w:r>
        <w:rPr>
          <w:rFonts w:ascii="Times New Roman" w:hAnsi="Times New Roman" w:cs="Times New Roman"/>
        </w:rPr>
        <w:t xml:space="preserve">论证</w:t>
      </w:r>
      <w:r>
        <w:rPr>
          <w:rFonts w:ascii="Times New Roman" w:hAnsi="Times New Roman" w:cs="Times New Roman"/>
        </w:rPr>
        <w:t>指出，组织大多数当代区块链话语的普遍假设——即代码可被理解为与法律类似的“规则”——将规制对象误认为比其实际规模小得多且更易于掌控的事物， 而代码更应被视为一个分层系统、一种环境，或一个规则生产的生态系统；在此系统中，人类——更广泛地说，人类的系统性——与其说是被对立或被服从，不如说正被逐步取代、转化，并最终仅能部分地被恢复。 上文提出的萨赫蛋糕模型为这种位移赋予了结构，而非将其留作一种隐喻：法律意义从成文法和立法意图出发，经由编译器、字节码、操作码和共识层层传递，在每次转换中都会丧失部分原始语义内容， 因此，当交易执行之时，人类监管者所能掌控的已非对系统底层的支配权——这些底层此时已演变为一种高度自主且自指的语言——而仅剩一系列闸门。这些闸门分布于分层生态与人类法律及政治制度的交汇处，监管者可在这些节点上决定——通常为时已晚且永远不完整——是否接纳系统已产出的结果。 因此，本文试图揭示的真正冲突，并非通常所呈现的“法治”</w:t>
      </w:r>
      <w:r>
        <w:rPr>
          <w:rFonts w:ascii="Times New Roman" w:hAnsi="Times New Roman" w:cs="Times New Roman"/>
        </w:rPr>
        <w:t>与</w:t>
      </w:r>
      <w:r>
        <w:rPr>
          <w:rFonts w:ascii="Times New Roman" w:hAnsi="Times New Roman" w:cs="Times New Roman"/>
        </w:rPr>
        <w:lastRenderedPageBreak/>
      </w:r>
      <w:r>
        <w:rPr>
          <w:rFonts w:ascii="Times New Roman" w:hAnsi="Times New Roman" w:cs="Times New Roman"/>
        </w:rPr>
        <w:t>“代码</w:t>
      </w:r>
      <w:r>
        <w:t>之</w:t>
      </w:r>
      <w:r>
        <w:rPr>
          <w:rFonts w:ascii="Times New Roman" w:hAnsi="Times New Roman" w:cs="Times New Roman"/>
        </w:rPr>
        <w:t>治”（</w:t>
      </w:r>
      <w:r>
        <w:t>或“依</w:t>
      </w:r>
      <w:r>
        <w:rPr>
          <w:rFonts w:ascii="Times New Roman" w:hAnsi="Times New Roman" w:cs="Times New Roman"/>
        </w:rPr>
        <w:t>代码</w:t>
      </w:r>
      <w:r>
        <w:t>而治”</w:t>
      </w:r>
      <w:r>
        <w:rPr>
          <w:rFonts w:ascii="Times New Roman" w:hAnsi="Times New Roman" w:cs="Times New Roman"/>
        </w:rPr>
        <w:t>）之间的冲突——仿佛这两者是争夺同一王座的两个主权者——而是不同监管生态系统之间的冲突。这些生态系统各自依据不相容的内部逻辑来组织意义、权威，而正如对区块链时间架构的讨论所揭示的，如今甚至连时间本身也是如此。因此，法律唯一剩下的任务，便是为那些生态系统被迫交汇的“闸门”赋予规范性内容——这一任务虽相对温和，但绝非微不足道。</w:t>
      </w:r>
    </w:p>
    <w:p w:rsidR="004817E5" w:rsidRDefault="004817E5" w14:paraId="6A02B1A2" w14:textId="00000001">
      <w:pPr>
        <w:ind w:firstLine="720"/>
        <w:rPr>
          <w:rFonts w:ascii="Times New Roman" w:hAnsi="Times New Roman" w:cs="Times New Roman"/>
        </w:rPr>
      </w:pPr>
      <w:r>
        <w:rPr>
          <w:rFonts w:ascii="Times New Roman" w:hAnsi="Times New Roman" w:cs="Times New Roman"/>
        </w:rPr>
        <w:t>上文已详尽阐述的另外两点见解，进一步深化了这一普遍论断，不应被允许湮没其中。 其一，关于区块链目的与恰当治理的任何论述——包括本文提出的“萨赫蛋糕”模型——本身都是一种带有既得利益的、预言式的言说：这是由某一方（其自身有所图）针对尚无法验证的技术未来所提出的论断，其目的在于以描述技术现状为幌子，确保人类与机器之间的一种特定权力分配。 这种反思性认识——借鉴自其他地方探讨过的、关于相互竞争的人工智能治理叙事之间的更广泛论战——要求读者不要将本文的论点视为一种最终能够解决“代码</w:t>
      </w:r>
      <w:r>
        <w:t>之</w:t>
      </w:r>
      <w:r>
        <w:rPr>
          <w:rFonts w:ascii="Times New Roman" w:hAnsi="Times New Roman" w:cs="Times New Roman"/>
        </w:rPr>
        <w:t>治”争论的中立描述，而应将其视为该论战中的又一参与者；其说服力恰恰在于，它以何等令人信服的方式要求读者接受一种特定的人机权力秩序，并认为这种秩序是充分的。 第二个见解涉及时间，在某些方面，它比前一个更为根本，因为它表明，区块链最受赞誉的技术成就——即在没有共同时钟、主权者或物理现实的节点之间，生成一系列经共识验证的、线性连续的状态——既不是关于</w:t>
      </w:r>
      <w:r>
        <w:t>继承</w:t>
      </w:r>
      <w:r>
        <w:rPr>
          <w:rFonts w:ascii="Times New Roman" w:hAnsi="Times New Roman" w:cs="Times New Roman"/>
        </w:rPr>
        <w:t>本质的超时空发现，也不是一种既应无条件颂扬又应视为幻象而予以驳斥的形而上学成就， 而是一种以能量为代价、需持续重新赢得、且在政治上备受争议的选择，旨在强制推行一种特定且具有历史特殊性的秩序图景： 一种严格序列化、辩证的、逐区块推进的序列模型，其力量与其局限性密不可分，且已被证明足够坚韧——甚至在经历了最新、最奇特的修订提案（即将真正非经典的量子纠缠表示嫁接到账本上）后，该模型仍看似完好无损地存续下来；尽管进行了如此创新，该账本仍仅允许每个新状态基于其直接前一个状态构建。 换言之，区块链不仅组织交易；它还通过自身的架构，制造出合法性、序列性和历史真实性的条件，随后将其呈现给参与者，使其看起来像是“发现”而非“制造”的；而正是这种用“制造”的秩序悄然取代“发现”的秩序的现象，正是萨赫蛋糕的比喻以及本文的时序分析所试图揭示的。</w:t>
      </w:r>
    </w:p>
    <w:p w:rsidR="004817E5" w:rsidRDefault="004817E5" w14:paraId="6A03B1A3" w14:textId="00000001">
      <w:pPr>
        <w:ind w:firstLine="720"/>
        <w:rPr>
          <w:rFonts w:ascii="Times New Roman" w:hAnsi="Times New Roman" w:cs="Times New Roman"/>
        </w:rPr>
      </w:pPr>
      <w:r>
        <w:rPr>
          <w:rFonts w:ascii="Times New Roman" w:hAnsi="Times New Roman" w:cs="Times New Roman"/>
        </w:rPr>
        <w:t xml:space="preserve">如果正确理解这些观点，既不应因此而放弃区块链，也不应因此产生那种将该技术视为“必须一劳永逸解决的问题”或“无需人类进一步关注的解决方案”的监管狂热。 代码能够以任何法律文本都无法企及的逻辑完美性实现自动执法，但从本质上讲，它仍无法捕捉法律所体现的意图、判断力和例外处理能力——尽管法律本身并不完美；反过来说，法律可以在单一制度框架内兼顾价值观、公平性和灵活性，但其运作速度过慢，且过于拘泥于自身，难以治理一个其核心成就恰恰在于自我执行的速度与表面中立性的系统。 区块链尴尬地处于这两种不可通约能力的交汇点上；无论将其视为技术、意识形态，还是如本文所倾向的那样视为符号实践，它都代表着一项持续进行的实验——探索一个社区如何将价值、秩序，乃至时间，投射到本质上是一种无形且完全人为构建的人造物之上； 其意义不仅在于它所结算的交易，更在于它使问责与集体治理的替代性架构变得可被重新构想——无论结果是好是坏。</w:t>
      </w:r>
      <w:r>
        <w:rPr>
          <w:rStyle w:val="FootnoteReference"/>
          <w:rFonts w:ascii="Times New Roman" w:hAnsi="Times New Roman" w:cs="Times New Roman"/>
        </w:rPr>
        <w:footnoteReference w:id="169"/>
      </w:r>
      <w:r>
        <w:rPr>
          <w:rFonts w:ascii="Times New Roman" w:hAnsi="Times New Roman" w:cs="Times New Roman"/>
        </w:rPr>
        <w:t xml:space="preserve"> </w:t>
      </w:r>
      <w:r>
        <w:rPr>
          <w:rFonts w:ascii="Times New Roman" w:hAnsi="Times New Roman" w:cs="Times New Roman"/>
        </w:rPr>
        <w:lastRenderedPageBreak/>
      </w:r>
      <w:r>
        <w:rPr>
          <w:rFonts w:ascii="Times New Roman" w:hAnsi="Times New Roman" w:cs="Times New Roman"/>
        </w:rPr>
        <w:t xml:space="preserve"> </w:t>
      </w:r>
      <w:r>
        <w:rPr>
          <w:rFonts w:ascii="Times New Roman" w:hAnsi="Times New Roman" w:cs="Times New Roman"/>
        </w:rPr>
        <w:t xml:space="preserve">此类</w:t>
      </w:r>
      <w:r>
        <w:rPr>
          <w:rFonts w:ascii="Times New Roman" w:hAnsi="Times New Roman" w:cs="Times New Roman"/>
        </w:rPr>
        <w:t xml:space="preserve">自动化、</w:t>
      </w:r>
      <w:r>
        <w:rPr>
          <w:rFonts w:ascii="Times New Roman" w:hAnsi="Times New Roman" w:cs="Times New Roman"/>
        </w:rPr>
        <w:t xml:space="preserve">基于账本</w:t>
      </w:r>
      <w:r>
        <w:rPr>
          <w:rFonts w:ascii="Times New Roman" w:hAnsi="Times New Roman" w:cs="Times New Roman"/>
        </w:rPr>
        <w:t xml:space="preserve">的序列化系统，得益于代码的多层语言以及其与人类决策之间日益紧密的相互渗透，将长期存在——除非发生本文未预见的灾难。因此，监管任务并非抵制这种持久性，而是要认真对待其价值，同时保持警惕，警惕其所构建的虚拟空间中那种符号学上完整的、因而具有符号学自我正当性逻辑。</w:t>
      </w:r>
    </w:p>
    <w:p w:rsidR="004817E5" w:rsidRDefault="004817E5" w14:paraId="6A04B1A4" w14:textId="00000001">
      <w:pPr>
        <w:ind w:firstLine="720"/>
        <w:rPr>
          <w:rFonts w:ascii="Times New Roman" w:hAnsi="Times New Roman" w:cs="Times New Roman"/>
        </w:rPr>
      </w:pPr>
      <w:r>
        <w:rPr>
          <w:rFonts w:ascii="Times New Roman" w:hAnsi="Times New Roman" w:cs="Times New Roman"/>
        </w:rPr>
        <w:t xml:space="preserve">这种警惕至关重要，因为区块链带来的风险与其说是源于工具本身，不如说源于一种再人性不过的冲动：先制造出工具，继而赋予其自主行为的主体尊严，最后却将决策的可预见后果归咎于工具——尽管代码介入了多少层，这些决策仍明显是人类所为； 正如谚语所言，拙工怪工具</w:t>
      </w:r>
      <w:r>
        <w:rPr>
          <w:rStyle w:val="FootnoteReference"/>
          <w:rFonts w:ascii="Times New Roman" w:hAnsi="Times New Roman" w:cs="Times New Roman"/>
        </w:rPr>
        <w:footnoteReference w:id="170"/>
      </w:r>
      <w:r>
        <w:rPr>
          <w:rFonts w:ascii="Times New Roman" w:hAnsi="Times New Roman" w:cs="Times New Roman"/>
        </w:rPr>
        <w:t xml:space="preserve"> </w:t>
      </w:r>
      <w:r>
        <w:rPr>
          <w:rFonts w:ascii="Times New Roman" w:hAnsi="Times New Roman" w:cs="Times New Roman"/>
        </w:rPr>
        <w:t xml:space="preserve">，而这一谚语的逻辑即便在工人的工具变得自指、加密保护且全球分布式之后依然成立——这种延续在很大程度上归因于“内化”与“外化”的符号学机制：人类行为者将自身的能动性投射到所建造的工具之上，随后又对此予以否认</w:t>
      </w:r>
      <w:r>
        <w:rPr>
          <w:rFonts w:ascii="Times New Roman" w:hAnsi="Times New Roman" w:cs="Times New Roman"/>
        </w:rPr>
        <w:t xml:space="preserve">。</w:t>
      </w:r>
      <w:r>
        <w:rPr>
          <w:rStyle w:val="FootnoteReference"/>
          <w:rFonts w:ascii="Times New Roman" w:hAnsi="Times New Roman" w:cs="Times New Roman"/>
        </w:rPr>
        <w:footnoteReference w:id="171"/>
      </w:r>
      <w:r>
        <w:rPr>
          <w:rFonts w:ascii="Times New Roman" w:hAnsi="Times New Roman" w:cs="Times New Roman"/>
        </w:rPr>
        <w:t xml:space="preserve"> 这不仅仅是对符号及其象征性表征本质的抽象论断；它更揭示了在本文所考察的特定制度与文化语境中，此类表征如何发挥出真正的“</w:t>
      </w:r>
      <w:r>
        <w:t>制</w:t>
      </w:r>
      <w:r>
        <w:rPr>
          <w:rFonts w:ascii="Times New Roman" w:hAnsi="Times New Roman" w:cs="Times New Roman"/>
        </w:rPr>
        <w:t>造神</w:t>
      </w:r>
      <w:r>
        <w:t>话</w:t>
      </w:r>
      <w:r>
        <w:rPr>
          <w:rFonts w:ascii="Times New Roman" w:hAnsi="Times New Roman" w:cs="Times New Roman"/>
        </w:rPr>
        <w:t>”</w:t>
      </w:r>
      <w:r>
        <w:t>的</w:t>
      </w:r>
      <w:r>
        <w:rPr>
          <w:rFonts w:ascii="Times New Roman" w:hAnsi="Times New Roman" w:cs="Times New Roman"/>
        </w:rPr>
        <w:t>功能</w:t>
      </w:r>
      <w:r>
        <w:rPr>
          <w:rFonts w:ascii="Times New Roman" w:hAnsi="Times New Roman" w:cs="Times New Roman"/>
        </w:rPr>
        <w:t xml:space="preserve">，</w:t>
      </w:r>
      <w:r>
        <w:rPr>
          <w:rStyle w:val="FootnoteReference"/>
          <w:rFonts w:ascii="Times New Roman" w:hAnsi="Times New Roman" w:cs="Times New Roman"/>
        </w:rPr>
        <w:footnoteReference w:id="172"/>
      </w:r>
      <w:r>
        <w:rPr>
          <w:rFonts w:ascii="Times New Roman" w:hAnsi="Times New Roman" w:cs="Times New Roman"/>
        </w:rPr>
        <w:t xml:space="preserve"> 将一种偶然形成、通过政治手段确立并持续维系的权威秩序，转化为在参与者眼中显得自然、不可避免、因而超脱于普通政治抗争之上的存在。 至此，我们终于触及了本文从开篇至结尾所追溯的更深层讽刺：无论人类在构建以自身形象为蓝本、旨在呈现其理想化版本的系统时，自认为在其中编码了什么，它终将以某种方式在该系统中嵌入 其自身在实现该理想方面持续失败的无可辩驳的标志，因为人类仍然能够——尽管仅是勉强能够——进行自我调节，无论是通过明确的法律制度，还是通过那些将裁量权和判断力视为无关紧要之事的编码化、自动化系统——而正是因为人类已将这些事务委托给了这些系统。 机器为人类长期以来在集体自治方面的失败提供了一个拙劣的借口；将责任归咎于自身工具的冲动是一种古老的心理套路，</w:t>
      </w:r>
      <w:r>
        <w:rPr>
          <w:rStyle w:val="FootnoteReference"/>
          <w:rFonts w:ascii="Times New Roman" w:hAnsi="Times New Roman" w:cs="Times New Roman"/>
        </w:rPr>
        <w:footnoteReference w:id="173"/>
      </w:r>
      <w:r>
        <w:rPr>
          <w:rFonts w:ascii="Times New Roman" w:hAnsi="Times New Roman" w:cs="Times New Roman"/>
        </w:rPr>
        <w:t xml:space="preserve"> 通常被称为“自利偏见”，</w:t>
      </w:r>
      <w:r>
        <w:rPr>
          <w:rStyle w:val="FootnoteReference"/>
          <w:rFonts w:ascii="Times New Roman" w:hAnsi="Times New Roman" w:cs="Times New Roman"/>
        </w:rPr>
        <w:footnoteReference w:id="174"/>
      </w:r>
      <w:r>
        <w:rPr>
          <w:rFonts w:ascii="Times New Roman" w:hAnsi="Times New Roman" w:cs="Times New Roman"/>
        </w:rPr>
        <w:t xml:space="preserve"> 其依据是这样一种假设：压制或管理工具比</w:t>
      </w:r>
      <w:r>
        <w:rPr>
          <w:rFonts w:ascii="Times New Roman" w:hAnsi="Times New Roman" w:cs="Times New Roman"/>
        </w:rPr>
        <w:lastRenderedPageBreak/>
      </w:r>
      <w:r>
        <w:rPr>
          <w:rFonts w:ascii="Times New Roman" w:hAnsi="Times New Roman" w:cs="Times New Roman"/>
        </w:rPr>
        <w:t xml:space="preserve"> 约束其使用者</w:t>
      </w:r>
      <w:r>
        <w:rPr>
          <w:rFonts w:ascii="Times New Roman" w:hAnsi="Times New Roman" w:cs="Times New Roman"/>
        </w:rPr>
        <w:t xml:space="preserve">更容易</w:t>
      </w:r>
      <w:r>
        <w:rPr>
          <w:rFonts w:ascii="Times New Roman" w:hAnsi="Times New Roman" w:cs="Times New Roman"/>
        </w:rPr>
        <w:t xml:space="preserve">、</w:t>
      </w:r>
      <w:r>
        <w:rPr>
          <w:rFonts w:ascii="Times New Roman" w:hAnsi="Times New Roman" w:cs="Times New Roman"/>
        </w:rPr>
        <w:t xml:space="preserve">成本更低</w:t>
      </w:r>
      <w:r>
        <w:rPr>
          <w:rFonts w:ascii="Times New Roman" w:hAnsi="Times New Roman" w:cs="Times New Roman"/>
        </w:rPr>
        <w:t xml:space="preserve">，</w:t>
      </w:r>
      <w:r>
        <w:rPr>
          <w:rStyle w:val="FootnoteReference"/>
          <w:rFonts w:ascii="Times New Roman" w:hAnsi="Times New Roman" w:cs="Times New Roman"/>
        </w:rPr>
        <w:footnoteReference w:id="175"/>
      </w:r>
      <w:r>
        <w:rPr>
          <w:rFonts w:ascii="Times New Roman" w:hAnsi="Times New Roman" w:cs="Times New Roman"/>
        </w:rPr>
        <w:t xml:space="preserve"> 即使——正如数字系统日益呈现的那样——人类仍然嵌入在被指责的系统之中</w:t>
      </w:r>
      <w:r>
        <w:rPr>
          <w:rFonts w:ascii="Times New Roman" w:hAnsi="Times New Roman" w:cs="Times New Roman"/>
        </w:rPr>
        <w:t xml:space="preserve">。</w:t>
      </w:r>
      <w:r>
        <w:rPr>
          <w:rStyle w:val="FootnoteReference"/>
          <w:rFonts w:ascii="Times New Roman" w:hAnsi="Times New Roman" w:cs="Times New Roman"/>
        </w:rPr>
        <w:footnoteReference w:id="176"/>
      </w:r>
      <w:r>
        <w:rPr>
          <w:rFonts w:ascii="Times New Roman" w:hAnsi="Times New Roman" w:cs="Times New Roman"/>
        </w:rPr>
        <w:t xml:space="preserve"> 然而，这种解释并未完全涵盖区块链的本质，因为其中涉及的核心问题与其说是归咎，不如说是信任——以及区块链架构所依据的特定信任前提与实践，其设计旨在建立信任，却无需任何人（包括其设计者本身）为这种信任的建立承担责任</w:t>
      </w:r>
      <w:r>
        <w:rPr>
          <w:rFonts w:ascii="Times New Roman" w:hAnsi="Times New Roman" w:cs="Times New Roman"/>
        </w:rPr>
        <w:t xml:space="preserve">。</w:t>
      </w:r>
      <w:r>
        <w:rPr>
          <w:rStyle w:val="FootnoteReference"/>
          <w:rFonts w:ascii="Times New Roman" w:hAnsi="Times New Roman" w:cs="Times New Roman"/>
        </w:rPr>
        <w:footnoteReference w:id="177"/>
      </w:r>
      <w:r>
        <w:rPr>
          <w:rFonts w:ascii="Times New Roman" w:hAnsi="Times New Roman" w:cs="Times New Roman"/>
        </w:rPr>
        <w:t xml:space="preserve"> 因此，监管区块链的危险不在于监管者无法应对这项技术，而在于他们所推崇的监管措施根本无法触及这一核心问题，反而会将责任和能动性转嫁给一种工具——即便该工具看似最具自主性且具有自我指涉性，它终究只是在执行人类在“萨赫蛋糕”每一层所做出的选择所持续设定的条款。</w:t>
      </w:r>
    </w:p>
    <w:p w:rsidR="004817E5" w:rsidRDefault="004817E5" w14:paraId="6A05B1A5" w14:textId="00000001">
      <w:pPr>
        <w:ind w:firstLine="720"/>
        <w:rPr>
          <w:rFonts w:ascii="Times New Roman" w:hAnsi="Times New Roman" w:cs="Times New Roman"/>
        </w:rPr>
      </w:pPr>
      <w:r>
        <w:rPr>
          <w:rFonts w:ascii="Times New Roman" w:hAnsi="Times New Roman" w:cs="Times New Roman"/>
        </w:rPr>
        <w:t xml:space="preserve">从这一角度理解，区块链与其说是某个时代的终结，不如说是人类在治理、理性化并为其集体生活赋予连贯意义这一漫长而未竟的努力中开启的新篇章——这一篇章将如同前文所述，由各怀私心的叙述者共同书写，他们各自对成功治理该技术所赋予的权威提出相互竞争的主张。 因此，对任何关于区块链监管意义的论述——包括本文所提出的观点——的检验标准，并非在于它能否赢得其所构建的论战，而在于它更严谨地要求读者默默接受何种人类与机器权威的秩序作为充分条件；如果本文在某方面取得了成功，那就是让这个问题——而非对其任何为时过早的答案——成为后续探讨的恰当起点。</w:t>
      </w:r>
    </w:p>
    <w:p w:rsidRPr="002162E0" w:rsidR="00D33081" w:rsidP="00FF1F0B" w:rsidRDefault="00D33081" w14:paraId="1BEED53C" w14:textId="3E466EC8">
      <w:pPr>
        <w:rPr>
          <w:rFonts w:ascii="Times New Roman" w:hAnsi="Times New Roman" w:cs="Times New Roman"/>
        </w:rPr>
      </w:pPr>
    </w:p>
    <w:p w:rsidRPr="002162E0" w:rsidR="00D33081" w:rsidP="00FF1F0B" w:rsidRDefault="00D33081" w14:paraId="7F8678BF" w14:textId="77777777">
      <w:pPr>
        <w:rPr>
          <w:rFonts w:ascii="Times New Roman" w:hAnsi="Times New Roman" w:cs="Times New Roman"/>
        </w:rPr>
      </w:pPr>
    </w:p>
    <w:sectPr w:rsidRPr="002162E0" w:rsidR="00D33081" w:rsidSect="00E539E6">
      <w:headerReference w:type="even" r:id="rId8"/>
      <w:headerReference w:type="default" r:id="rId9"/>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F279FA" w:rsidP="00843294" w:rsidRDefault="00F279FA" w14:paraId="3BF0DD73" w14:textId="77777777">
      <w:r>
        <w:separator/>
      </w:r>
    </w:p>
  </w:endnote>
  <w:endnote w:type="continuationSeparator" w:id="0">
    <w:p w:rsidR="00F279FA" w:rsidP="00843294" w:rsidRDefault="00F279FA" w14:paraId="2FDEA2F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doni 72">
    <w:panose1 w:val="00000400000000000000"/>
    <w:charset w:val="00"/>
    <w:family w:val="auto"/>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variable"/>
    <w:sig w:usb0="E0002AFF" w:usb1="C0007841"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F279FA" w:rsidP="00843294" w:rsidRDefault="00F279FA" w14:paraId="415CA592" w14:textId="77777777">
      <w:r>
        <w:separator/>
      </w:r>
    </w:p>
  </w:footnote>
  <w:footnote w:type="continuationSeparator" w:id="0">
    <w:p w:rsidR="00F279FA" w:rsidP="00843294" w:rsidRDefault="00F279FA" w14:paraId="70DFA971" w14:textId="77777777">
      <w:r>
        <w:continuationSeparator/>
      </w:r>
    </w:p>
  </w:footnote>
  <w:footnote w:id="1">
    <w:p w:rsidRPr="00EF62D0" w:rsidR="006B1D16" w:rsidP="00AC026B" w:rsidRDefault="006B1D16" w14:paraId="28B24BED" w14:textId="135298BA">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w:t>
      </w:r>
      <w:r w:rsidRPr="00EF62D0" w:rsidR="00AC026B">
        <w:rPr>
          <w:rFonts w:ascii="Times New Roman" w:hAnsi="Times New Roman" w:cs="Times New Roman"/>
        </w:rPr>
        <w:t xml:space="preserve">W. 理查德和玛丽·埃舍尔曼教席学者；宾夕法尼亚州立大学法学与国际事务教授 | 宾夕法尼亚州大学公园市刘易斯·卡茨大楼239室，</w:t>
      </w:r>
      <w:r w:rsidRPr="00EF62D0" w:rsidR="006553F8">
        <w:rPr>
          <w:rFonts w:ascii="Times New Roman" w:hAnsi="Times New Roman" w:cs="Times New Roman"/>
        </w:rPr>
        <w:t xml:space="preserve">邮编16802。</w:t>
      </w:r>
      <w:r w:rsidRPr="00EF62D0" w:rsidR="00AC026B">
        <w:rPr>
          <w:rFonts w:ascii="Times New Roman" w:hAnsi="Times New Roman" w:cs="Times New Roman"/>
        </w:rPr>
        <w:t xml:space="preserve"> </w:t>
      </w:r>
      <w:r w:rsidR="009261E6">
        <w:rPr>
          <w:rFonts w:ascii="Times New Roman" w:hAnsi="Times New Roman" w:cs="Times New Roman"/>
        </w:rPr>
        <w:t xml:space="preserve">谨向普里马维拉·德·菲利皮以及2025年9月25日在</w:t>
      </w:r>
      <w:r w:rsidR="009261E6">
        <w:rPr>
          <w:rFonts w:ascii="Times New Roman" w:hAnsi="Times New Roman" w:cs="Times New Roman"/>
        </w:rPr>
        <w:t xml:space="preserve">巴黎第二大学（</w:t>
      </w:r>
      <w:r w:rsidR="009261E6">
        <w:rPr>
          <w:rFonts w:ascii="Times New Roman" w:hAnsi="Times New Roman" w:cs="Times New Roman"/>
        </w:rPr>
        <w:t xml:space="preserve">Panthéon </w:t>
      </w:r>
      <w:r w:rsidR="009261E6">
        <w:rPr>
          <w:rFonts w:ascii="Times New Roman" w:hAnsi="Times New Roman" w:cs="Times New Roman"/>
        </w:rPr>
        <w:t xml:space="preserve">Assas</w:t>
      </w:r>
      <w:r w:rsidR="009261E6">
        <w:rPr>
          <w:rFonts w:ascii="Times New Roman" w:hAnsi="Times New Roman" w:cs="Times New Roman"/>
        </w:rPr>
        <w:t xml:space="preserve">）</w:t>
      </w:r>
      <w:r w:rsidR="009261E6">
        <w:rPr>
          <w:rFonts w:ascii="Times New Roman" w:hAnsi="Times New Roman" w:cs="Times New Roman"/>
        </w:rPr>
        <w:t xml:space="preserve">举办的“区块链治理：区块链治理的现状与未来”国际研讨会的其他参与者和组织者表示感谢</w:t>
      </w:r>
      <w:r w:rsidR="009261E6">
        <w:rPr>
          <w:rFonts w:ascii="Times New Roman" w:hAnsi="Times New Roman" w:cs="Times New Roman"/>
        </w:rPr>
        <w:t xml:space="preserve">——本文的早期版本曾在该研讨会上发表——同时也感谢</w:t>
      </w:r>
      <w:r w:rsidRPr="00EF62D0">
        <w:rPr>
          <w:rFonts w:ascii="Times New Roman" w:hAnsi="Times New Roman" w:cs="Times New Roman"/>
        </w:rPr>
        <w:t xml:space="preserve">阿里安娜·巴克（Symetra）</w:t>
      </w:r>
      <w:r w:rsidRPr="00EF62D0" w:rsidR="00AC026B">
        <w:rPr>
          <w:rFonts w:ascii="Times New Roman" w:hAnsi="Times New Roman" w:cs="Times New Roman"/>
        </w:rPr>
        <w:t xml:space="preserve">提出的富有挑战性的评论和见解</w:t>
      </w:r>
      <w:r w:rsidRPr="00EF62D0">
        <w:rPr>
          <w:rFonts w:ascii="Times New Roman" w:hAnsi="Times New Roman" w:cs="Times New Roman"/>
        </w:rPr>
        <w:t xml:space="preserve">。 </w:t>
      </w:r>
    </w:p>
  </w:footnote>
  <w:footnote w:id="2">
    <w:p w:rsidRPr="00257379" w:rsidR="009261E6" w:rsidRDefault="009261E6" w14:paraId="54F95C72" w14:textId="103BB42B">
      <w:pPr>
        <w:pStyle w:val="FootnoteText"/>
      </w:pPr>
      <w:r>
        <w:rPr>
          <w:rStyle w:val="FootnoteReference"/>
        </w:rPr>
        <w:footnoteRef/>
      </w:r>
      <w:r>
        <w:t xml:space="preserve"> 宾夕法尼亚州立大学（</w:t>
      </w:r>
      <w:r w:rsidR="00C15F35">
        <w:t xml:space="preserve">计算机工程学士、德语学士，</w:t>
      </w:r>
      <w:r>
        <w:t xml:space="preserve">预计2027年获得</w:t>
      </w:r>
      <w:r w:rsidR="00257379">
        <w:t xml:space="preserve">国际</w:t>
      </w:r>
      <w:r>
        <w:t xml:space="preserve">事务</w:t>
      </w:r>
      <w:r>
        <w:t xml:space="preserve">学院</w:t>
      </w:r>
      <w:r>
        <w:t xml:space="preserve">国际事务</w:t>
      </w:r>
      <w:r>
        <w:t xml:space="preserve">硕士学位</w:t>
      </w:r>
      <w:r w:rsidR="005C04C7">
        <w:t xml:space="preserve">）</w:t>
      </w:r>
      <w:r>
        <w:t xml:space="preserve">。</w:t>
      </w:r>
    </w:p>
  </w:footnote>
  <w:footnote w:id="3">
    <w:p w:rsidRPr="000F2AC5" w:rsidR="000F2AC5" w:rsidRDefault="000F2AC5" w14:paraId="5E7982EE" w14:textId="7B738C5C">
      <w:pPr>
        <w:pStyle w:val="FootnoteText"/>
      </w:pPr>
      <w:r>
        <w:rPr>
          <w:rStyle w:val="FootnoteReference"/>
        </w:rPr>
        <w:footnoteRef/>
      </w:r>
      <w:r>
        <w:t xml:space="preserve"> </w:t>
      </w:r>
      <w:r w:rsidRPr="004E3A22">
        <w:rPr>
          <w:smallCaps/>
        </w:rPr>
        <w:t xml:space="preserve">普里马维拉·德·菲利皮与亚伦·赖特合著，《区块链与法律：代码的统治</w:t>
      </w:r>
      <w:r>
        <w:t xml:space="preserve">》（哈佛大学</w:t>
      </w:r>
      <w:r>
        <w:t xml:space="preserve">出版社，2018年）。</w:t>
      </w:r>
      <w:r>
        <w:rPr>
          <w:rFonts w:ascii="Times New Roman" w:hAnsi="Times New Roman" w:cs="Times New Roman"/>
        </w:rPr>
        <w:t xml:space="preserve"> 若要追溯该术语在系统理论与治理语境中的起源，必须回溯至四分之一世纪之前。“每个时代都有其潜在的监管者，都有其对自由的威胁……我们所处的时代是网络空间的时代。它同样拥有一个监管者。这个监管者同样威胁着自由……这个监管者就是代码——构成当今网络空间的软件与硬件。 这种代码，或者说架构，决定了人们体验网络空间生活的条件。”劳伦斯·莱西格论网络空间日益加剧的监管，《哈佛杂志》（2000年1月）；参见[https://www.harvardmagazine.com/2000/01/code-is-law-html]</w:t>
      </w:r>
      <w:r>
        <w:rPr>
          <w:rFonts w:ascii="Times New Roman" w:hAnsi="Times New Roman" w:cs="Times New Roman"/>
        </w:rPr>
        <w:t xml:space="preserve">，</w:t>
      </w:r>
      <w:r>
        <w:rPr>
          <w:rFonts w:ascii="Times New Roman" w:hAnsi="Times New Roman" w:cs="Times New Roman"/>
          <w:smallCaps/>
        </w:rPr>
        <w:t xml:space="preserve">该文讨论了劳伦斯·莱西格的</w:t>
      </w:r>
      <w:r>
        <w:rPr>
          <w:rFonts w:ascii="Times New Roman" w:hAnsi="Times New Roman" w:cs="Times New Roman"/>
        </w:rPr>
        <w:t xml:space="preserve">《</w:t>
      </w:r>
      <w:r>
        <w:rPr>
          <w:rFonts w:ascii="Times New Roman" w:hAnsi="Times New Roman" w:cs="Times New Roman"/>
          <w:smallCaps/>
        </w:rPr>
        <w:t xml:space="preserve">代码及其他网络空间法则</w:t>
      </w:r>
      <w:r>
        <w:rPr>
          <w:rFonts w:ascii="Times New Roman" w:hAnsi="Times New Roman" w:cs="Times New Roman"/>
          <w:i/>
          <w:iCs/>
        </w:rPr>
        <w:t xml:space="preserve">》（</w:t>
      </w:r>
      <w:r>
        <w:rPr>
          <w:rFonts w:ascii="Times New Roman" w:hAnsi="Times New Roman" w:cs="Times New Roman"/>
        </w:rPr>
        <w:t xml:space="preserve">Basic Books，1999年</w:t>
      </w:r>
      <w:r>
        <w:rPr>
          <w:rFonts w:ascii="Times New Roman" w:hAnsi="Times New Roman" w:cs="Times New Roman"/>
          <w:i/>
          <w:iCs/>
        </w:rPr>
        <w:t xml:space="preserve">） </w:t>
      </w:r>
      <w:r>
        <w:rPr>
          <w:rFonts w:ascii="Times New Roman" w:hAnsi="Times New Roman" w:cs="Times New Roman"/>
        </w:rPr>
        <w:t xml:space="preserve">然而，此处所指的代码并非某种等同于法律的存在，而是指那些以代码语言和编码架构为基础的系统——正如传统系统是以法律语言和法律架构为基础一样。</w:t>
      </w:r>
    </w:p>
  </w:footnote>
  <w:footnote w:id="4">
    <w:p w:rsidRPr="000F2AC5" w:rsidR="000F2AC5" w:rsidRDefault="000F2AC5" w14:paraId="064A69EF" w14:textId="5D7B8ABE">
      <w:pPr>
        <w:pStyle w:val="FootnoteText"/>
      </w:pPr>
      <w:r>
        <w:rPr>
          <w:rStyle w:val="FootnoteReference"/>
        </w:rPr>
        <w:footnoteRef/>
      </w:r>
      <w:r>
        <w:t xml:space="preserve"> </w:t>
      </w:r>
      <w:r w:rsidR="00C14B60">
        <w:t xml:space="preserve">参见杰里米·沃尔德伦，《法治与程序公正》，</w:t>
      </w:r>
      <w:r w:rsidR="006553F8">
        <w:t xml:space="preserve">载于《</w:t>
      </w:r>
      <w:r w:rsidR="00C14B60">
        <w:t xml:space="preserve">斯坦福哲学百科全书》（2016年6月22日）；可参阅 [</w:t>
      </w:r>
      <w:r w:rsidRPr="00C14B60" w:rsidR="00C14B60">
        <w:t xml:space="preserve">https://plato.stanford.edu/entries/rule-of-law/</w:t>
      </w:r>
      <w:r w:rsidR="00C14B60">
        <w:t xml:space="preserve">]。</w:t>
      </w:r>
    </w:p>
  </w:footnote>
  <w:footnote w:id="5">
    <w:p w:rsidR="000267A2" w:rsidRDefault="000267A2" w14:paraId="2B63FCB3" w14:textId="2F1C76E9">
      <w:pPr>
        <w:pStyle w:val="FootnoteText"/>
      </w:pPr>
      <w:r>
        <w:rPr>
          <w:rStyle w:val="FootnoteReference"/>
        </w:rPr>
        <w:footnoteRef/>
      </w:r>
      <w:r>
        <w:fldChar w:fldCharType="begin"/>
      </w:r>
      <w:r w:rsidR="00C04038">
        <w:instrText xml:space="preserve"> ADDIN ZOTERO_ITEM CSL_CITATION {"citationID":"z7SFD41u","properties":{"formattedCitation":"{\\i{}See} Satoshi Nakamoto, Bitcoin: A Peer-to-Peer Electronic Cash System (Aug. 21, 2008), https://papers.ssrn.com/abstract=3440802 (defining \\uc0\\u8220{}blockchain\\uc0\\u8221{}).","plainCitation":"See Satoshi Nakamoto, Bitcoin: A Peer-to-Peer Electronic Cash System (Aug. 21, 2008), https://papers.ssrn.com/abstract=3440802 (defining “blockchain”).","noteIndex":3},"citationItems":[{"id":55,"uris":["http://zotero.org/users/20142566/items/DVYFEBKG"],"itemData":{"id":55,"type":"article","abstract":"A purely peer-to-peer version of electronic cash would allow online payments to be sent directly from one party to another without the burdens of going through a financial institution. Digital signatures provide part of the solution, but the main benefits are lost if a trusted third party is still required to prevent double-spending. We propose a solution to the double-spending problem using a peer-to-peer network. The network timestamps transactions by hashing them into an ongoing chain of hash-based proof-of-work, forming a record that cannot be changed without redoing the proof-of-work. The longest chain not only serves as proof of the sequence of events witnessed, but proof that it came from the largest pool of CPU power. As long as honest nodes control the most CPU power on the network, they can generate the longest chain and outpace any attackers. The network itself requires minimal structure. Messages are broadcast on a best effort basis, and nodes can leave and rejoin the network at will, accepting the longest proof-of-work chain as proof of what happened while they were gone.","DOI":"10.2139/ssrn.3440802","genre":"SSRN Scholarly Paper","language":"en","number":"3440802","publisher":"Social Science Research Network","publisher-place":"Rochester, NY","source":"papers.ssrn.com","title":"Bitcoin: A Peer-to-Peer Electronic Cash System","title-short":"Bitcoin","URL":"https://papers.ssrn.com/abstract=3440802","author":[{"family":"Nakamoto","given":"Satoshi"}],"accessed":{"date-parts":[["2026",4,6]]},"issued":{"date-parts":[["2008",8,21]]}},"prefix":"&lt;i&gt;See&lt;/i&gt;","suffix":"(defining \"blockchain\")"}],"schema":"https://github.com/citation-style-language/schema/raw/master/csl-citation.json"} </w:instrText>
      </w:r>
      <w:r>
        <w:fldChar w:fldCharType="separate"/>
      </w:r>
      <w:r w:rsidRPr="00903D5C" w:rsidR="00903D5C">
        <w:rPr>
          <w:rFonts w:cs="Times New Roman"/>
          <w:i/>
          <w:iCs/>
          <w:kern w:val="0"/>
          <w:lang w:bidi="yi-Hebr"/>
        </w:rPr>
        <w:t xml:space="preserve"> 参</w:t>
      </w:r>
      <w:r w:rsidRPr="00903D5C" w:rsidR="00903D5C">
        <w:rPr>
          <w:rFonts w:cs="Times New Roman"/>
          <w:kern w:val="0"/>
          <w:lang w:bidi="yi-Hebr"/>
        </w:rPr>
        <w:t xml:space="preserve">见中本聪，《比特币：一种点对点的电子现金系统》（2008年8月21日），https://papers.ssrn.com/abstract=3440802（对“区块链”的定义）。</w:t>
      </w:r>
      <w:r>
        <w:fldChar w:fldCharType="end"/>
      </w:r>
    </w:p>
  </w:footnote>
  <w:footnote w:id="6">
    <w:p w:rsidRPr="000B53EF" w:rsidR="000B53EF" w:rsidRDefault="000B53EF" w14:paraId="26C2EFBA" w14:textId="4B683598">
      <w:pPr>
        <w:pStyle w:val="FootnoteText"/>
      </w:pPr>
      <w:r>
        <w:rPr>
          <w:rStyle w:val="FootnoteReference"/>
        </w:rPr>
        <w:footnoteRef/>
      </w:r>
      <w:r>
        <w:t xml:space="preserve"> </w:t>
      </w:r>
      <w:r w:rsidRPr="004E3A22">
        <w:t xml:space="preserve">《牛津英语</w:t>
      </w:r>
      <w:r w:rsidRPr="000B53EF">
        <w:t xml:space="preserve">词典</w:t>
      </w:r>
      <w:r>
        <w:t xml:space="preserve">》，absurd（荒谬），词源，可参见 [</w:t>
      </w:r>
      <w:r w:rsidRPr="000B53EF">
        <w:t xml:space="preserve">https://www.oed.com/dictionary/absurd_adj?tl=true&amp;tab=etymology</w:t>
      </w:r>
      <w:r>
        <w:t xml:space="preserve">]。荒谬性中蕴含的符号学意义，在本文中也将发挥作用。 参见，例如，乔治·V·齐托，《走向异端社会学》，《宗教社会学》第44卷，第123-130页（1983年）；保罗·赫里蒂埃，</w:t>
      </w:r>
      <w:r w:rsidRPr="004E3A22">
        <w:rPr>
          <w:i/>
          <w:iCs/>
        </w:rPr>
        <w:t xml:space="preserve">《理解法律符号学</w:t>
      </w:r>
      <w:r>
        <w:t xml:space="preserve">》，载于</w:t>
      </w:r>
      <w:r w:rsidRPr="004E3A22" w:rsidR="007851B4">
        <w:rPr>
          <w:smallCaps/>
        </w:rPr>
        <w:t xml:space="preserve">《法律符号学研究手册</w:t>
      </w:r>
      <w:r w:rsidR="007851B4">
        <w:t xml:space="preserve">》（安妮·瓦格纳和莎拉·马鲁塞克编，E·埃尔加出版社，2023年）。</w:t>
      </w:r>
    </w:p>
  </w:footnote>
  <w:footnote w:id="7">
    <w:p w:rsidRPr="004521E6" w:rsidR="004521E6" w:rsidRDefault="004521E6" w14:paraId="39CA3719" w14:textId="2C1DBE70">
      <w:pPr>
        <w:pStyle w:val="FootnoteText"/>
      </w:pPr>
      <w:r>
        <w:rPr>
          <w:rStyle w:val="FootnoteReference"/>
        </w:rPr>
        <w:footnoteRef/>
      </w:r>
      <w:r>
        <w:t xml:space="preserve"> 参见，例如，雷蒙德·弗内斯，《尼采对英国人的看法及其欧洲共同体概念》，</w:t>
      </w:r>
      <w:r w:rsidR="000F2AC5">
        <w:t xml:space="preserve">《德国生活与文学</w:t>
      </w:r>
      <w:r>
        <w:t xml:space="preserve">》</w:t>
      </w:r>
      <w:r w:rsidR="000F2AC5">
        <w:t xml:space="preserve">第17卷第4期，第319-325页（1964年）；乔尼·阿诺马利，《尼采对功利主义的批判》，《</w:t>
      </w:r>
      <w:r w:rsidR="00C14B60">
        <w:t xml:space="preserve">尼采</w:t>
      </w:r>
      <w:r w:rsidR="000F2AC5">
        <w:t xml:space="preserve">研究杂志</w:t>
      </w:r>
      <w:r w:rsidR="000F2AC5">
        <w:t xml:space="preserve">》第29卷，</w:t>
      </w:r>
      <w:r w:rsidR="000F2AC5">
        <w:t xml:space="preserve">第1-15页（2005年）。</w:t>
      </w:r>
    </w:p>
  </w:footnote>
  <w:footnote w:id="8">
    <w:p w:rsidRPr="00483994" w:rsidR="00483994" w:rsidRDefault="00483994" w14:paraId="24F7AC3D" w14:textId="20DC558D">
      <w:pPr>
        <w:pStyle w:val="FootnoteText"/>
      </w:pPr>
      <w:r>
        <w:rPr>
          <w:rStyle w:val="FootnoteReference"/>
        </w:rPr>
        <w:footnoteRef/>
      </w:r>
      <w:r>
        <w:t xml:space="preserve"> 参见：</w:t>
      </w:r>
      <w:r w:rsidR="000B53EF">
        <w:t xml:space="preserve">莫埃兹</w:t>
      </w:r>
      <w:r>
        <w:t xml:space="preserve">·克里钦、梅里耶姆·阿米、阿拉埃丁·米胡布和穆蒂克·阿尔穆蒂克</w:t>
      </w:r>
      <w:r w:rsidR="000B53EF">
        <w:t xml:space="preserve">，</w:t>
      </w:r>
      <w:r>
        <w:t xml:space="preserve">《区块链在现代应用中的研究综述》</w:t>
      </w:r>
      <w:r w:rsidR="000B53EF">
        <w:t xml:space="preserve">，</w:t>
      </w:r>
      <w:r w:rsidR="00DD59B7">
        <w:t xml:space="preserve">《传感器》</w:t>
      </w:r>
      <w:r w:rsidR="000B53EF">
        <w:t xml:space="preserve">第22卷第14</w:t>
      </w:r>
      <w:r w:rsidR="00DD59B7">
        <w:t xml:space="preserve">期</w:t>
      </w:r>
      <w:r>
        <w:t xml:space="preserve">，第5274页</w:t>
      </w:r>
      <w:r w:rsidR="000B53EF">
        <w:t xml:space="preserve">（2022年）；可访问 [</w:t>
      </w:r>
      <w:r>
        <w:t xml:space="preserve">https://doi.org/10.3390/s22145274</w:t>
      </w:r>
      <w:r w:rsidR="000B53EF">
        <w:t xml:space="preserve">]。</w:t>
      </w:r>
    </w:p>
  </w:footnote>
  <w:footnote w:id="9">
    <w:p w:rsidRPr="000F2AC5" w:rsidR="000F2AC5" w:rsidRDefault="000F2AC5" w14:paraId="2AB4F748" w14:textId="5DFCBC46">
      <w:pPr>
        <w:pStyle w:val="FootnoteText"/>
      </w:pPr>
      <w:r>
        <w:rPr>
          <w:rStyle w:val="FootnoteReference"/>
        </w:rPr>
        <w:footnoteRef/>
      </w:r>
      <w:r>
        <w:t xml:space="preserve"> </w:t>
      </w:r>
      <w:r w:rsidR="00C14B60">
        <w:t xml:space="preserve">蒂莫西·C·梅，《加密无政府主义宣言》（1988）；可参见 [</w:t>
      </w:r>
      <w:r w:rsidRPr="00C14B60" w:rsidR="00C14B60">
        <w:t xml:space="preserve">https://groups.csail.mit.edu/mac/classes/6.805/articles/crypto/cypherpunks/may-crypto-manifesto.html</w:t>
      </w:r>
      <w:r w:rsidR="00C14B60">
        <w:t xml:space="preserve">]。 参见《</w:t>
      </w:r>
      <w:r w:rsidR="00C14B60">
        <w:t xml:space="preserve">密码诺米康</w:t>
      </w:r>
      <w:r w:rsidR="00C14B60">
        <w:t xml:space="preserve">》</w:t>
      </w:r>
      <w:r w:rsidR="00C14B60">
        <w:t xml:space="preserve">（</w:t>
      </w:r>
      <w:r w:rsidR="00C14B60">
        <w:t xml:space="preserve">Cyphernomicon</w:t>
      </w:r>
      <w:r w:rsidR="00C14B60">
        <w:t xml:space="preserve">）（0.666版，1994年）；可参阅 [</w:t>
      </w:r>
      <w:r w:rsidRPr="00C14B60" w:rsidR="00C14B60">
        <w:t xml:space="preserve">https://cdn.nakamotoinstitute.org/docs/cyphernomicon.txt</w:t>
      </w:r>
      <w:r w:rsidR="00C14B60">
        <w:t xml:space="preserve">]。</w:t>
      </w:r>
    </w:p>
  </w:footnote>
  <w:footnote w:id="10">
    <w:p w:rsidRPr="00257379" w:rsidR="00257379" w:rsidRDefault="00257379" w14:paraId="1D2DEB22" w14:textId="3FCACD3A">
      <w:pPr>
        <w:pStyle w:val="FootnoteText"/>
      </w:pPr>
      <w:r>
        <w:rPr>
          <w:rStyle w:val="FootnoteReference"/>
        </w:rPr>
        <w:footnoteRef/>
      </w:r>
      <w:r>
        <w:t xml:space="preserve"> </w:t>
      </w:r>
      <w:r w:rsidR="00A84246">
        <w:t xml:space="preserve">参见彼得·瓦格纳，《现代性：理解当下》（Polity Press，2012年）（</w:t>
      </w:r>
      <w:r w:rsidR="00A84246">
        <w:t xml:space="preserve">现代性的起源与基础是启蒙运动项目的体现</w:t>
      </w:r>
      <w:r w:rsidR="00DD59B7">
        <w:t xml:space="preserve">，</w:t>
      </w:r>
      <w:r w:rsidR="00A84246">
        <w:t xml:space="preserve">通过以</w:t>
      </w:r>
      <w:r w:rsidR="00DD59B7">
        <w:t xml:space="preserve">福利</w:t>
      </w:r>
      <w:r w:rsidR="00A84246">
        <w:t xml:space="preserve">为功能的生产为基础的人类自主结构与技术进步的结合而显现</w:t>
      </w:r>
      <w:r w:rsidR="00DD59B7">
        <w:t xml:space="preserve">，同上</w:t>
      </w:r>
      <w:r w:rsidR="00A84246">
        <w:t xml:space="preserve">，</w:t>
      </w:r>
      <w:r w:rsidR="00A84246">
        <w:t xml:space="preserve">第1章）。</w:t>
      </w:r>
    </w:p>
  </w:footnote>
  <w:footnote w:id="11">
    <w:p w:rsidRPr="00303F19" w:rsidR="00303F19" w:rsidRDefault="00303F19" w14:paraId="6251B923" w14:textId="622FFD17">
      <w:pPr>
        <w:pStyle w:val="FootnoteText"/>
      </w:pPr>
      <w:r>
        <w:rPr>
          <w:rStyle w:val="FootnoteReference"/>
        </w:rPr>
        <w:footnoteRef/>
      </w:r>
      <w:r>
        <w:t xml:space="preserve"> </w:t>
      </w:r>
      <w:r w:rsidRPr="004E3A22" w:rsidR="00DD59B7">
        <w:t xml:space="preserve">参见</w:t>
      </w:r>
      <w:r w:rsidRPr="004E3A22">
        <w:t xml:space="preserve">皮埃兰杰洛·布兰迪诺（Pierangelo Blandino）的《</w:t>
      </w:r>
      <w:r w:rsidRPr="004E3A22">
        <w:t xml:space="preserve">符号标记</w:t>
      </w:r>
      <w:r w:rsidRPr="004E3A22">
        <w:t xml:space="preserve">、算法与区块链网络：法律思想中的新可能模式》，载《国际法律符号学杂志》第38卷，第327-362页（2025年）；</w:t>
      </w:r>
      <w:r>
        <w:t xml:space="preserve">以及马丁·夏皮罗（Martin Shapiro）主编的《</w:t>
      </w:r>
      <w:r w:rsidRPr="004E3A22">
        <w:rPr>
          <w:smallCaps/>
        </w:rPr>
        <w:t xml:space="preserve">加密</w:t>
      </w:r>
      <w:r w:rsidRPr="004E3A22">
        <w:rPr>
          <w:smallCaps/>
        </w:rPr>
        <w:t xml:space="preserve">群体</w:t>
      </w:r>
      <w:r>
        <w:t xml:space="preserve">》</w:t>
      </w:r>
      <w:r>
        <w:t xml:space="preserve">（</w:t>
      </w:r>
      <w:r>
        <w:t xml:space="preserve">Berghahn Books，2024年）</w:t>
      </w:r>
      <w:r w:rsidRPr="004E3A22">
        <w:t xml:space="preserve">一书中的相关论文</w:t>
      </w:r>
      <w:r>
        <w:t xml:space="preserve">。</w:t>
      </w:r>
    </w:p>
  </w:footnote>
  <w:footnote w:id="12">
    <w:p w:rsidRPr="00257379" w:rsidR="00257379" w:rsidP="00257379" w:rsidRDefault="00257379" w14:paraId="3A37886A" w14:textId="03CE6C41">
      <w:pPr>
        <w:pStyle w:val="FootnoteText"/>
      </w:pPr>
      <w:r>
        <w:rPr>
          <w:rStyle w:val="FootnoteReference"/>
        </w:rPr>
        <w:footnoteRef/>
      </w:r>
      <w:r>
        <w:t xml:space="preserve"> 让·鲍德里亚，《</w:t>
      </w:r>
      <w:r w:rsidRPr="00196B96">
        <w:rPr>
          <w:i/>
          <w:iCs/>
        </w:rPr>
        <w:t xml:space="preserve">现代性》</w:t>
      </w:r>
      <w:r>
        <w:t xml:space="preserve">，第11页(3)</w:t>
      </w:r>
      <w:r w:rsidRPr="00196B96">
        <w:rPr>
          <w:smallCaps/>
        </w:rPr>
        <w:t xml:space="preserve">《加拿大政治与社会理论杂志》/《Revue canadienne de </w:t>
      </w:r>
      <w:r w:rsidRPr="00196B96">
        <w:rPr>
          <w:smallCaps/>
        </w:rPr>
        <w:t xml:space="preserve">théorie</w:t>
      </w:r>
      <w:r w:rsidRPr="00196B96">
        <w:rPr>
          <w:smallCaps/>
        </w:rPr>
        <w:t xml:space="preserve"> </w:t>
      </w:r>
      <w:r w:rsidRPr="00196B96">
        <w:rPr>
          <w:smallCaps/>
        </w:rPr>
        <w:t xml:space="preserve">politique et </w:t>
      </w:r>
      <w:r w:rsidRPr="00196B96">
        <w:rPr>
          <w:smallCaps/>
        </w:rPr>
        <w:t xml:space="preserve">sociale</w:t>
      </w:r>
      <w:r w:rsidRPr="00196B96">
        <w:rPr>
          <w:smallCaps/>
        </w:rPr>
        <w:t xml:space="preserve">》</w:t>
      </w:r>
      <w:r>
        <w:t xml:space="preserve">第63-72页，第72页（1987年）（“科学技术惊人的扩张……生产资料及其管理与组织的理性、系统化发展，标志着现代性是生产力时代</w:t>
      </w:r>
      <w:r>
        <w:t xml:space="preserve">。”同上，第66页）。</w:t>
      </w:r>
    </w:p>
  </w:footnote>
  <w:footnote w:id="13">
    <w:p w:rsidRPr="00EF62D0" w:rsidR="00D05DD1" w:rsidRDefault="00D05DD1" w14:paraId="61E72CA6" w14:textId="660D3F15">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此处该术语采用其符号学意义，即赋予</w:t>
      </w:r>
      <w:r w:rsidRPr="00EF62D0">
        <w:rPr>
          <w:rFonts w:ascii="Times New Roman" w:hAnsi="Times New Roman" w:cs="Times New Roman"/>
        </w:rPr>
        <w:t xml:space="preserve">被观察或构成的对象以</w:t>
      </w:r>
      <w:r w:rsidRPr="00EF62D0">
        <w:rPr>
          <w:rFonts w:ascii="Times New Roman" w:hAnsi="Times New Roman" w:cs="Times New Roman"/>
        </w:rPr>
        <w:t xml:space="preserve">某种特定的理解</w:t>
      </w:r>
      <w:r w:rsidRPr="00EF62D0" w:rsidR="004777E6">
        <w:rPr>
          <w:rFonts w:ascii="Times New Roman" w:hAnsi="Times New Roman" w:cs="Times New Roman"/>
        </w:rPr>
        <w:t xml:space="preserve">、价值、特征等</w:t>
      </w:r>
      <w:r w:rsidRPr="00EF62D0">
        <w:rPr>
          <w:rFonts w:ascii="Times New Roman" w:hAnsi="Times New Roman" w:cs="Times New Roman"/>
        </w:rPr>
        <w:t xml:space="preserve">——在本例中，是指被指定为代表某种</w:t>
      </w:r>
      <w:r w:rsidRPr="00EF62D0" w:rsidR="00DD59B7">
        <w:rPr>
          <w:rFonts w:ascii="Times New Roman" w:hAnsi="Times New Roman" w:cs="Times New Roman"/>
        </w:rPr>
        <w:t xml:space="preserve">“价值”</w:t>
      </w:r>
      <w:r w:rsidRPr="00EF62D0">
        <w:rPr>
          <w:rFonts w:ascii="Times New Roman" w:hAnsi="Times New Roman" w:cs="Times New Roman"/>
        </w:rPr>
        <w:t xml:space="preserve">的特定数据片段</w:t>
      </w:r>
      <w:r w:rsidRPr="00EF62D0">
        <w:rPr>
          <w:rFonts w:ascii="Times New Roman" w:hAnsi="Times New Roman" w:cs="Times New Roman"/>
        </w:rPr>
        <w:t xml:space="preserve">，其价值将通过其（同样是构建出来的）使用来衡量。 </w:t>
      </w:r>
    </w:p>
  </w:footnote>
  <w:footnote w:id="14">
    <w:p w:rsidR="00C1288C" w:rsidRDefault="00C1288C" w14:paraId="561F4D3E" w14:textId="69183AD7">
      <w:pPr>
        <w:pStyle w:val="FootnoteText"/>
      </w:pPr>
      <w:r>
        <w:rPr>
          <w:rStyle w:val="FootnoteReference"/>
        </w:rPr>
        <w:footnoteRef/>
      </w:r>
      <w:r>
        <w:fldChar w:fldCharType="begin"/>
      </w:r>
      <w:r w:rsidR="00C04038">
        <w:instrText xml:space="preserve"> ADDIN ZOTERO_ITEM CSL_CITATION {"citationID":"jNGJc27g","properties":{"formattedCitation":"Antero Karvonen et al., {\\i{}Fundamental Concepts of Cognitive Mimetics}, 82 {\\scaps Cogn. Syst. Res.} 101166 (2023); See generally {\\scaps Jan M. Broekman}, {\\scaps Signs In Law - A Source Book: The Semiotics of Law in Legal Education III} (Larry Cat\\uc0\\u225{} Backer ed., 2015).","plainCitation":"Antero Karvonen et al., Fundamental Concepts of Cognitive Mimetics, 82 Cogn. Syst. Res. 101166 (2023); See generally Jan M. Broekman, Signs In Law - A Source Book: The Semiotics of Law in Legal Education III (Larry Catá Backer ed., 2015).","noteIndex":5},"citationItems":[{"id":134,"uris":["http://zotero.org/users/20142566/items/CWW8ZQPJ"],"itemData":{"id":134,"type":"article-journal","abstract":"The rapid development and widespread adoption of Artificial Intelligence (AI) technologies have made the development of AI-specific design methods an important topic to advance. In recent decades, the centre of gravity in AI has shifted away from cognitive science and related fields like psychology. However, there is a clear need and potential for added value in returning to stronger interaction. One potential challenge for this interaction may be the lack of common conceptual grounds and design languages.","container-title":"Cognitive Systems Research","DOI":"10.1016/j.cogsys.2023.101166","ISSN":"13890417","journalAbbreviation":"Cognitive Systems Research","language":"en","page":"101166","source":"DOI.org (Crossref)","title":"Fundamental concepts of cognitive mimetics","volume":"82","author":[{"family":"Karvonen","given":"Antero"},{"family":"Kujala","given":"Tuomo"},{"family":"Kärkkäinen","given":"Tommi"},{"family":"Saariluoma","given":"Pertti"}],"issued":{"date-parts":[["2023",12]]}}},{"id":133,"uris":["http://zotero.org/users/20142566/items/URJG9KPL"],"itemData":{"id":133,"type":"book","abstract":"This volume provides a critical roadmap through the major historical sources of legal semiotics as we know them today. The history of legal semiotics, now at least a century old, has never been written (a non-event itself pregnant with semiotic possibility). As a consequence, its sources are seldom clearly exposed and, as word, object and meaning change, are sometimes lost. They reach from an English translation of the 1916 inaugural lecture of the first Chair in Legal Significs at the Amsterdam University, via mid 20th century studies on “property” or “contract,” to equally fascinating essays on contemporary semiotic problems produced by former students of the Roberta Kevelson Semiotics Roundtable Seminar at Penn State University 2012 and 2013. Together, the materials in this book weave the fabric of semiotics and significs, two names for the unfolding of semiotics in law and legal discourse at least until the second half of the 20th century, and both of which covered a lawyer’s focus on sign and meaning in law. The latter is embedded within the cultural imperatives of the civilization that gave these terms meaning and made them an effective tool for the dissection of law, its reconstitution as an instrument to be used by the lawyer to advance the interests of her clients, and for judges as a means to restructure language as a narrative of law whose power could bend behavior to its strictures. Legal semiotics has become an indispensible part of the elite lawyer’s toolkit and a fundamental approach to analysis of legal texts. Two previous volumes published in 2011 and 2012 explored the conceptual, methodological and epistemological progress in the field of legal semiotics, the modern forms of semiotics study, and the mechanics of meaning making processes by lawyers. Yet the great lessons of semiotics requires a focus on the origins of the concepts and frameworks that would become contemporary legal semiotics, its origins as an object of the consciousness of meaning making-one whose roots, as lessons for the oracular conversations of law, are expanded in this volume","collection-title":"SpringerLink Bücher","DOI":"10.1007/978-3-319-09837-1","ISBN":"978-3-319-09836-4","language":"eng","number-of-pages":"431","publisher":"Springer","publisher-place":"Cham","source":"K10plus ISBN","title":"Signs In Law - A Source Book: The Semiotics of Law in Legal Education III","title-short":"Signs In Law - A Source Book","author":[{"family":"Broekman","given":"Jan M."}],"editor":[{"family":"Backer","given":"Larry Catá"}],"issued":{"date-parts":[["2015"]]}},"prefix":"See generally"}],"schema":"https://github.com/citation-style-language/schema/raw/master/csl-citation.json"} </w:instrText>
      </w:r>
      <w:r>
        <w:fldChar w:fldCharType="separate"/>
      </w:r>
      <w:r>
        <w:rPr>
          <w:rFonts w:cs="Times New Roman"/>
          <w:kern w:val="0"/>
          <w:lang w:bidi="yi-Hebr"/>
        </w:rPr>
        <w:t xml:space="preserve"> </w:t>
      </w:r>
      <w:r>
        <w:t>Antero Karvonen et al., Fundamental Concepts of Cognitive Mimetics</w:t>
      </w:r>
      <w:r w:rsidRPr="00C1288C">
        <w:rPr>
          <w:rFonts w:cs="Times New Roman"/>
          <w:kern w:val="0"/>
          <w:lang w:bidi="yi-Hebr"/>
        </w:rPr>
        <w:t xml:space="preserve">, 82 </w:t>
      </w:r>
      <w:r>
        <w:t xml:space="preserve">Cogn. Syst. Res. </w:t>
      </w:r>
      <w:r w:rsidRPr="00C1288C">
        <w:rPr>
          <w:rFonts w:cs="Times New Roman"/>
          <w:kern w:val="0"/>
          <w:lang w:bidi="yi-Hebr"/>
        </w:rPr>
        <w:t xml:space="preserve">101166 (2023)；</w:t>
      </w:r>
      <w:r>
        <w:t>另见 Jan M. Broekman, Signs in Law—A Source Book: The Semiotics of Law in Legal Education III (Larry Catá Backer ed., 2015).</w:t>
      </w:r>
      <w:r>
        <w:fldChar w:fldCharType="end"/>
      </w:r>
    </w:p>
  </w:footnote>
  <w:footnote w:id="15">
    <w:p w:rsidR="00A251CC" w:rsidRDefault="00A251CC" w14:paraId="4821DD7D" w14:textId="1AE257AA">
      <w:pPr>
        <w:pStyle w:val="FootnoteText"/>
      </w:pPr>
      <w:r>
        <w:rPr>
          <w:rStyle w:val="FootnoteReference"/>
        </w:rPr>
        <w:footnoteRef/>
      </w:r>
      <w:r>
        <w:fldChar w:fldCharType="begin"/>
      </w:r>
      <w:r w:rsidR="00C04038">
        <w:instrText xml:space="preserve"> ADDIN ZOTERO_ITEM CSL_CITATION {"citationID":"Rtmx9qbP","properties":{"formattedCitation":"G. C. M. Teubner, {\\i{}Autopoiesis and Steering: How Politics Profit from the Normative Surplus of Capital}, {\\i{}in} {\\scaps Autopoiesis and Configuration Theory: New Approaches to Societal Steering} 127 (Roeland J. In \\uc0\\u8217{}T Veld et al. eds., 1991), http://link.springer.com/10.1007/978-94-011-3522-1_11; {\\scaps Niklas Luhmann}, {\\scaps Essays on Self-Reference} (1990); Larry Cat\\uc0\\u225{} Backer, {\\i{}Private Actors and Public Governance Beyond the State: The Multinational Corporation, the Financial Stability Board, and the Global Governance Order}, 18 {\\scaps Indiana J. Glob. Leg. Stud.} 751 (2011).","plainCitation":"G. C. M. Teubner, Autopoiesis and Steering: How Politics Profit from the Normative Surplus of Capital, in Autopoiesis and Configuration Theory: New Approaches to Societal Steering 127 (Roeland J. In ’T Veld et al. eds., 1991), http://link.springer.com/10.1007/978-94-011-3522-1_11; Niklas Luhmann, Essays on Self-Reference (1990); Larry Catá Backer, Private Actors and Public Governance Beyond the State: The Multinational Corporation, the Financial Stability Board, and the Global Governance Order, 18 Indiana J. Glob. Leg. Stud. 751 (2011).","noteIndex":7},"citationItems":[{"id":132,"uris":["http://zotero.org/users/20142566/items/P95BQMAE"],"itemData":{"id":132,"type":"chapter","container-title":"Autopoiesis and Configuration Theory: New Approaches to Societal Steering","DOI":"10.1007/978-94-011-3522-1_11","ISBN":"978-94-010-5558-1","language":"en","page":"127-141","publisher":"Springer Netherlands","publisher-place":"Dordrecht","source":"DOI.org (Crossref)","title":"Autopoiesis and Steering: How Politics Profit from the Normative Surplus of Capital","title-short":"Autopoiesis and Steering","URL":"http://link.springer.com/10.1007/978-94-011-3522-1_11","editor":[{"family":"In ’T Veld","given":"Roeland J."},{"family":"Schaap","given":"Linze"},{"family":"Termeer","given":"Catrien J. A. M."},{"family":"Van Twist","given":"Mark J. W."}],"author":[{"family":"Teubner","given":"G. C. M."}],"accessed":{"date-parts":[["2026",4,13]]},"issued":{"date-parts":[["1991"]]}}},{"id":131,"uris":["http://zotero.org/users/20142566/items/VMVG9BY7"],"itemData":{"id":131,"type":"book","ISBN":"978-0-231-06368-5","language":"en","note":"Google-Books-ID: YGnZexW1xP0C","number-of-pages":"262","publisher":"Columbia University Press","source":"Google Books","title":"Essays on Self-reference","author":[{"family":"Luhmann","given":"Niklas"}],"issued":{"date-parts":[["1990"]]}}},{"id":130,"uris":["http://zotero.org/users/20142566/items/MGVKTGBS"],"itemData":{"id":130,"type":"article-journal","abstract":"Abstract Transnational corporations are at the center of extraordinary and complex governance systems that are developing outside the state and international public organizations and beyond the conventionally legitimating framework of the forms of domestic or international hard law. Though these systems are sometimes recognized as autonomous and authoritative among its members, they are neither isolated from each other nor from the states with which they come into contact. Together these systems may begin to suggest a new template for networked governance beyond the state, but one in which public and private actors are integrated stakeholders. This provides the source of the questions explored in this article: Is it possible to detect this new template for transnational governance of economic activity (in general) and corporations (in particular) developing through principles of transnational private governance? Is public governance in the twentyfirst century taking on the characteristics of transnational corporate governance? The questions suggest three objectives. The first is to examine the organization of communities of states through the normative lens of private transnational governance. A secondary objective is to suggest the importance of communication—structural coupling—between developing private governance systems and emerging transnational public governance systems. That communication suggests the development of the institutional intermeshing of both autonomous systems of governing communities of private actors and communities of states. The third objective is to consider whether emerging governance frameworks, public and private, might be arranged together in a way that credibly suggests a system of coordinated metagovernance. After an introduction, Section I of this article examines the governance constitutions of multinational economic actors. Section II then turns to a consideration of corporate constitutionalism within a metagovernance framework. The focus is the governance framework of the G-20's Financial Stability Board (FSB). The G-20-FSB framework points to the future of governance systems in which the state participates in a collaborative governance structure, but in which states share rulemaking power with public and private nonstate actors. The FSB template points to the organization of governance as a collegial enterprise in which states and traditional law-based systems interact with nonstate actors and their norm-based systems to develop integrated governance with global reach. Thus reconstituted, a new set of arrangements might well arise, one in which amalgamations of the most powerful states and private regulatory bodies assert authority once reserved to states alone.","container-title":"Indiana Journal of Global Legal Studies","DOI":"10.2979/indjglolegstu.18.2.751","ISSN":"1080-0727","issue":"2","page":"751-802","publisher":"Indiana University Press","source":"JSTOR","title":"Private Actors and Public Governance Beyond the State: The Multinational Corporation, the Financial Stability Board, and the Global Governance Order","title-short":"Private Actors and Public Governance Beyond the State","volume":"18","author":[{"family":"Backer","given":"Larry Catá"}],"issued":{"date-parts":[["2011"]]}}}],"schema":"https://github.com/citation-style-language/schema/raw/master/csl-citation.json"} </w:instrText>
      </w:r>
      <w:r>
        <w:fldChar w:fldCharType="separate"/>
      </w:r>
      <w:r>
        <w:rPr>
          <w:rFonts w:cs="Times New Roman"/>
          <w:kern w:val="0"/>
          <w:lang w:bidi="yi-Hebr"/>
        </w:rPr>
        <w:t xml:space="preserve"> G. C. M. Teubner</w:t>
      </w:r>
      <w:r>
        <w:t>, Autopoiesis and Steering: How Politics Profit from the Normative Surplus of Capital</w:t>
      </w:r>
      <w:r w:rsidRPr="0004154E" w:rsidR="0004154E">
        <w:rPr>
          <w:rFonts w:cs="Times New Roman"/>
          <w:kern w:val="0"/>
          <w:lang w:bidi="yi-Hebr"/>
        </w:rPr>
        <w:t xml:space="preserve">, </w:t>
      </w:r>
      <w:r>
        <w:t>in Autopoiesis and Configuration Theory: New Approaches to Societal Steering 127 (Roeland</w:t>
      </w:r>
      <w:r>
        <w:rPr>
          <w:rFonts w:cs="Times New Roman"/>
          <w:kern w:val="0"/>
          <w:lang w:bidi="yi-Hebr"/>
        </w:rPr>
        <w:t xml:space="preserve"> J. In </w:t>
      </w:r>
      <w:r>
        <w:t>‘t</w:t>
      </w:r>
      <w:r>
        <w:rPr>
          <w:rFonts w:cs="Times New Roman"/>
          <w:kern w:val="0"/>
          <w:lang w:bidi="yi-Hebr"/>
        </w:rPr>
        <w:t xml:space="preserve"> Veld </w:t>
      </w:r>
      <w:r>
        <w:t>et al. eds., 1991),</w:t>
      </w:r>
      <w:r>
        <w:rPr>
          <w:rFonts w:cs="Times New Roman"/>
          <w:kern w:val="0"/>
          <w:lang w:bidi="yi-Hebr"/>
        </w:rPr>
        <w:t xml:space="preserve"> http://link.springer.com/10.1007/978-94-011-3522-1_11</w:t>
      </w:r>
      <w:r>
        <w:t>; Niklas Luhmann, Essays on Self-Reference (1990); Larry Catá Backer, Private Actors and Public Governance Beyond the State: The Multinational Corporation, the Financial Stability Board, and the Global Governance Order</w:t>
      </w:r>
      <w:r>
        <w:rPr>
          <w:rFonts w:cs="Times New Roman"/>
          <w:kern w:val="0"/>
          <w:lang w:bidi="yi-Hebr"/>
        </w:rPr>
        <w:t>, 18</w:t>
      </w:r>
      <w:r>
        <w:t xml:space="preserve"> Indiana J. Glob. Leg. Stud. </w:t>
      </w:r>
      <w:r>
        <w:rPr>
          <w:rFonts w:cs="Times New Roman"/>
          <w:kern w:val="0"/>
          <w:lang w:bidi="yi-Hebr"/>
        </w:rPr>
        <w:t>751 (2011).</w:t>
      </w:r>
      <w:r>
        <w:fldChar w:fldCharType="end"/>
      </w:r>
    </w:p>
  </w:footnote>
  <w:footnote w:id="16">
    <w:p w:rsidRPr="00B45AE0" w:rsidR="00B45AE0" w:rsidP="00B45AE0" w:rsidRDefault="00B45AE0" w14:paraId="66A79AE9" w14:textId="57F29F6A">
      <w:pPr>
        <w:pStyle w:val="FootnoteText"/>
      </w:pPr>
      <w:r>
        <w:rPr>
          <w:rStyle w:val="FootnoteReference"/>
        </w:rPr>
        <w:footnoteRef/>
      </w:r>
      <w:r>
        <w:t xml:space="preserve"> </w:t>
      </w:r>
      <w:r>
        <w:rPr>
          <w:rFonts w:ascii="Times New Roman" w:hAnsi="Times New Roman" w:cs="Times New Roman"/>
        </w:rPr>
        <w:t xml:space="preserve">参见：阿莱达·阿斯曼，《记忆、个体与集体》，载于</w:t>
      </w:r>
      <w:r>
        <w:rPr>
          <w:rFonts w:ascii="Times New Roman" w:hAnsi="Times New Roman" w:cs="Times New Roman"/>
          <w:smallCaps/>
        </w:rPr>
        <w:t xml:space="preserve">《</w:t>
      </w:r>
      <w:r>
        <w:rPr>
          <w:rFonts w:ascii="Times New Roman" w:hAnsi="Times New Roman" w:cs="Times New Roman"/>
          <w:smallCaps/>
        </w:rPr>
        <w:t xml:space="preserve">牛津</w:t>
      </w:r>
      <w:r>
        <w:rPr>
          <w:rFonts w:ascii="Times New Roman" w:hAnsi="Times New Roman" w:cs="Times New Roman"/>
          <w:smallCaps/>
        </w:rPr>
        <w:t xml:space="preserve">情</w:t>
      </w:r>
      <w:r>
        <w:rPr>
          <w:rFonts w:ascii="Times New Roman" w:hAnsi="Times New Roman" w:cs="Times New Roman"/>
          <w:smallCaps/>
        </w:rPr>
        <w:t xml:space="preserve">境</w:t>
      </w:r>
      <w:r>
        <w:rPr>
          <w:rFonts w:ascii="Times New Roman" w:hAnsi="Times New Roman" w:cs="Times New Roman"/>
          <w:smallCaps/>
        </w:rPr>
        <w:t xml:space="preserve">政治分析</w:t>
      </w:r>
      <w:r>
        <w:rPr>
          <w:rFonts w:ascii="Times New Roman" w:hAnsi="Times New Roman" w:cs="Times New Roman"/>
          <w:smallCaps/>
        </w:rPr>
        <w:t xml:space="preserve">手册》</w:t>
      </w:r>
      <w:r>
        <w:rPr>
          <w:rFonts w:ascii="Times New Roman" w:hAnsi="Times New Roman" w:cs="Times New Roman"/>
        </w:rPr>
        <w:t xml:space="preserve">210-224页（罗伯特·E·古德林和查尔斯·蒂利编，牛津大学出版社，2006年）；</w:t>
      </w:r>
      <w:r w:rsidRPr="004E3A22">
        <w:t xml:space="preserve"> 莫里茨·J</w:t>
      </w:r>
      <w:r w:rsidRPr="004E3A22">
        <w:t xml:space="preserve">·克莱纳阿尔滕</w:t>
      </w:r>
      <w:r w:rsidRPr="004E3A22">
        <w:t xml:space="preserve">坎普，《未来即当下：区块链组织中的非线性时间性</w:t>
      </w:r>
      <w:r>
        <w:t xml:space="preserve">》（2022年春季）（未发表的博士论文，</w:t>
      </w:r>
      <w:r>
        <w:t xml:space="preserve">赫蒂</w:t>
      </w:r>
      <w:r>
        <w:t xml:space="preserve">学院），可访问 [</w:t>
      </w:r>
      <w:r w:rsidRPr="00B45AE0">
        <w:t xml:space="preserve">https://opus4.kobv.de/opus4-hsog/frontdoor/deliver/index/docId/4498/file/Dissertation_Kleinaltenkamp.pdf</w:t>
      </w:r>
      <w:r>
        <w:t xml:space="preserve">]。</w:t>
      </w:r>
    </w:p>
  </w:footnote>
  <w:footnote w:id="17">
    <w:p w:rsidR="003441F2" w:rsidRDefault="003441F2" w14:paraId="0536523B" w14:textId="2EB5E4FF">
      <w:pPr>
        <w:pStyle w:val="FootnoteText"/>
      </w:pPr>
      <w:r>
        <w:rPr>
          <w:rStyle w:val="FootnoteReference"/>
        </w:rPr>
        <w:footnoteRef/>
      </w:r>
      <w:r>
        <w:fldChar w:fldCharType="begin"/>
      </w:r>
      <w:r w:rsidR="00C04038">
        <w:instrText xml:space="preserve"> ADDIN ZOTERO_ITEM CSL_CITATION {"citationID":"mlKozkrA","properties":{"formattedCitation":"See Jordan Zlatev, {\\i{}Meaning Making from Life to Language:The Semiotic Hierarchy and Phenomenology}, 11 {\\scaps Cogn. Semiot.} 20180001 (2018); Cf. Rodrigo Antunes Morais &amp; Carlos Miguel Lopes Rosa, {\\i{}Design and Collective Cognition: A Semiotic-Theoretical Framework for Understanding Shared Meanings}, 14 {\\scaps Int. J. Des. Creat. Innov.} 26 (2026).","plainCitation":"See Jordan Zlatev, Meaning Making from Life to Language:The Semiotic Hierarchy and Phenomenology, 11 Cogn. Semiot. 20180001 (2018); Cf. Rodrigo Antunes Morais &amp; Carlos Miguel Lopes Rosa, Design and Collective Cognition: A Semiotic-Theoretical Framework for Understanding Shared Meanings, 14 Int. J. Des. Creat. Innov. 26 (2026).","noteIndex":8},"citationItems":[{"id":129,"uris":["http://zotero.org/users/20142566/items/8Q3BUCXQ"],"itemData":{"id":129,"type":"article-journal","abstract":"Abstract\n            \n              The paper rethinks a proposal for a unified cognitive semiotic framework,\n              The Semiotic Hierarchy,\n              in explicitly phenomenological terms, following above all the work of Merleau-Ponty. The main changes to the earlier formulation of the theory are the following. First, the claim that a general concept of meaning can be understood as the value-based relationship between the subject and the world is shown to correspond to the most fundamental concept of phenomenology:\n              intentionality\n              , understood as “openness to the world.” Second, the rather strict nature of the original hierarchy of meaning levels made the model rather static and one-directional, thus resembling an old-fashioned\n              scala naturae\n              . Reformulating the relationship between the levels in terms of the dynamical notion of\n              Fundierung\n              avoids this pitfall. Third, the phenomenological analysis allows, somewhat paradoxically, both a greater number of levels (\n              life, subjectivity, intersubjectivity, sign function, language\n              ) and less discrete borders between these. Fourth, there is an intimate relation between (levels and kinds of) intentionality and normativity, making the normativity of language a special case. Fifth, to each level of meaning corresponds a dialectics of spontaneity and sedimentation, with corresponding normative structures (e.g., habits, emotions, conventions, signs and grammar) both emerging from and constraining, but not determining, subject-world interactions. Sixth and finally, the analysis follows the basic phenomenological principle to examine the phenomena without theoretical preconceptions, and without premature explanations. This implies a focus on human experience, even when dealing with the “biological” level of meaning, with the possibility of extending the analysis to non-human subjects through empathy. The intention is that this phenomenologically interpreted version of the Semiotic Hierarchy may serve as a useful tool against any kind of meaning reductionism, whether biological, mental, social or linguistic.","container-title":"Cognitive Semiotics","DOI":"10.1515/cogsem-2018-0001","ISSN":"2235-2066, 1662-1425","issue":"1","language":"en","page":"20180001","source":"DOI.org (Crossref)","title":"Meaning making from life to language:The Semiotic Hierarchy and phenomenology","title-short":"Meaning making from life to language","volume":"11","author":[{"family":"Zlatev","given":"Jordan"}],"issued":{"date-parts":[["2018",5,25]]}},"prefix":"See "},{"id":128,"uris":["http://zotero.org/users/20142566/items/XX3EPYJF"],"itemData":{"id":128,"type":"article-journal","abstract":"Design creativity research increasingly emphasizes the need to bridge diverse disciplinary lenses to understand how innovative ideas emerge and gain shared significance. This paper presents a theoretical and integrative investigation of design as a language that mediates collective cognition in design teams and communities. Drawing on Peirce’s triadic semiotic framework, and perspectives from Jung’s archetypes, Lévy-Bruhl’s collective representations, Hutchins’ distributed cognition, and Escobar’s pluriversal design, we consolidate and extend existing discussions by reconceptualizing design as shared meaning-making rather than solely problem-solving. The research problem explores how design artifacts function as cultural symbols that enable co-creation and collective understanding. We adopt a philosophical and literature-based methodology, reviewing key contributions in design cognition and creativity, then integrating semiotic theory to propose a conceptual framework. The originality of this work lies not in claiming a wholly new paradigm, but in articulating a semiotic-theoretical foundation that makes the mechanisms of shared cognition explicit across disciplinary perspectives. Our results show how design artifacts trigger interpretive processes that support group creativity. The discussion suggests design creativity is not only individual cognition but also a distributed, culturally situated phenomenon. We highlight implications for co-design and education, advocating approaches that foreground shared symbolic languages in collaborative creativity.","container-title":"International Journal of Design Creativity and Innovation","DOI":"10.1080/21650349.2025.2575166","ISSN":"2165-0349","issue":"1","note":"_eprint: https://doi.org/10.1080/21650349.2025.2575166","page":"26-50","publisher":"Taylor &amp; Francis","source":"Taylor and Francis+NEJM","title":"Design and collective cognition: a semiotic-theoretical framework for understanding shared meanings","title-short":"Design and collective cognition","volume":"14","author":[{"family":"Morais","given":"Rodrigo Antunes"},{"family":"Rosa","given":"Carlos Miguel Lopes"}],"issued":{"date-parts":[["2026",1,2]]}},"prefix":"Cf."}],"schema":"https://github.com/citation-style-language/schema/raw/master/csl-citation.json"} </w:instrText>
      </w:r>
      <w:r>
        <w:fldChar w:fldCharType="separate"/>
      </w:r>
      <w:r>
        <w:rPr>
          <w:rFonts w:cs="Times New Roman"/>
          <w:kern w:val="0"/>
          <w:lang w:bidi="yi-Hebr"/>
        </w:rPr>
        <w:t xml:space="preserve"> 参见</w:t>
      </w:r>
      <w:r>
        <w:t xml:space="preserve"> </w:t>
      </w:r>
      <w:r>
        <w:rPr>
          <w:rFonts w:cs="Times New Roman"/>
          <w:kern w:val="0"/>
          <w:lang w:bidi="yi-Hebr"/>
        </w:rPr>
        <w:t>Jordan Zlatev</w:t>
      </w:r>
      <w:r>
        <w:t>, Meaning Making from Life to Language: The Semiotic Hierarchy and Phenomenology</w:t>
      </w:r>
      <w:r>
        <w:rPr>
          <w:rFonts w:cs="Times New Roman"/>
          <w:kern w:val="0"/>
          <w:lang w:bidi="yi-Hebr"/>
        </w:rPr>
        <w:t>, 11</w:t>
      </w:r>
      <w:r>
        <w:t xml:space="preserve"> Cogn</w:t>
      </w:r>
      <w:r w:rsidRPr="00AF44FA" w:rsidR="00AF44FA">
        <w:rPr>
          <w:rFonts w:cs="Times New Roman"/>
          <w:smallCaps/>
          <w:kern w:val="0"/>
          <w:lang w:bidi="yi-Hebr"/>
        </w:rPr>
        <w:t xml:space="preserve">. </w:t>
      </w:r>
      <w:r>
        <w:t>Semiot</w:t>
      </w:r>
      <w:r w:rsidRPr="00AF44FA" w:rsidR="00AF44FA">
        <w:rPr>
          <w:rFonts w:cs="Times New Roman"/>
          <w:smallCaps/>
          <w:kern w:val="0"/>
          <w:lang w:bidi="yi-Hebr"/>
        </w:rPr>
        <w:t>.</w:t>
      </w:r>
      <w:r>
        <w:rPr>
          <w:rFonts w:cs="Times New Roman"/>
          <w:kern w:val="0"/>
          <w:lang w:bidi="yi-Hebr"/>
        </w:rPr>
        <w:t xml:space="preserve"> 20180001 (2018)；</w:t>
      </w:r>
      <w:r>
        <w:t xml:space="preserve">比较 </w:t>
      </w:r>
      <w:r>
        <w:rPr>
          <w:rFonts w:cs="Times New Roman"/>
          <w:kern w:val="0"/>
          <w:lang w:bidi="yi-Hebr"/>
        </w:rPr>
        <w:t>Rodrigo Antunes Morais</w:t>
      </w:r>
      <w:r>
        <w:t xml:space="preserve"> &amp; </w:t>
      </w:r>
      <w:r>
        <w:rPr>
          <w:rFonts w:cs="Times New Roman"/>
          <w:kern w:val="0"/>
          <w:lang w:bidi="yi-Hebr"/>
        </w:rPr>
        <w:t>Carlos Miguel Lopes Rosa</w:t>
      </w:r>
      <w:r>
        <w:t>, Design and Collective Cognition: A Semiotic-Theoretical Framework for Understanding Shared Meanings</w:t>
      </w:r>
      <w:r>
        <w:rPr>
          <w:rFonts w:cs="Times New Roman"/>
          <w:kern w:val="0"/>
          <w:lang w:bidi="yi-Hebr"/>
        </w:rPr>
        <w:t>, 14</w:t>
      </w:r>
      <w:r>
        <w:t xml:space="preserve"> </w:t>
      </w:r>
      <w:r>
        <w:rPr>
          <w:rFonts w:cs="Times New Roman"/>
          <w:smallCaps/>
          <w:kern w:val="0"/>
          <w:lang w:bidi="yi-Hebr"/>
        </w:rPr>
        <w:t xml:space="preserve">Int. J. Des. </w:t>
      </w:r>
      <w:r w:rsidRPr="00AF44FA" w:rsidR="00AF44FA">
        <w:rPr>
          <w:rFonts w:cs="Times New Roman"/>
          <w:smallCaps/>
          <w:kern w:val="0"/>
          <w:lang w:bidi="yi-Hebr"/>
        </w:rPr>
        <w:t xml:space="preserve">Creat</w:t>
      </w:r>
      <w:r w:rsidRPr="00AF44FA" w:rsidR="00AF44FA">
        <w:rPr>
          <w:rFonts w:cs="Times New Roman"/>
          <w:smallCaps/>
          <w:kern w:val="0"/>
          <w:lang w:bidi="yi-Hebr"/>
        </w:rPr>
        <w:t xml:space="preserve">. Innov.</w:t>
      </w:r>
      <w:r w:rsidRPr="00AF44FA" w:rsidR="00AF44FA">
        <w:rPr>
          <w:rFonts w:cs="Times New Roman"/>
          <w:kern w:val="0"/>
          <w:lang w:bidi="yi-Hebr"/>
        </w:rPr>
        <w:t xml:space="preserve"> 26 (2026).</w:t>
      </w:r>
      <w:r>
        <w:fldChar w:fldCharType="end"/>
      </w:r>
    </w:p>
  </w:footnote>
  <w:footnote w:id="18">
    <w:p w:rsidR="004817E5" w:rsidRDefault="00000000" w14:paraId="77F1875A"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参见，例如，于尔根·施特劳布，《</w:t>
      </w:r>
      <w:r>
        <w:rPr>
          <w:rFonts w:ascii="Times New Roman" w:hAnsi="Times New Roman" w:cs="Times New Roman"/>
          <w:i/>
          <w:iCs/>
        </w:rPr>
        <w:t xml:space="preserve">个人与集体身份：概念分析》</w:t>
      </w:r>
      <w:r>
        <w:rPr>
          <w:rFonts w:ascii="Times New Roman" w:hAnsi="Times New Roman" w:cs="Times New Roman"/>
        </w:rPr>
        <w:t xml:space="preserve">，载于《</w:t>
      </w:r>
      <w:r>
        <w:rPr>
          <w:rFonts w:ascii="Times New Roman" w:hAnsi="Times New Roman" w:cs="Times New Roman"/>
          <w:smallCaps/>
        </w:rPr>
        <w:t xml:space="preserve">身份</w:t>
      </w:r>
      <w:r>
        <w:rPr>
          <w:rFonts w:ascii="Times New Roman" w:hAnsi="Times New Roman" w:cs="Times New Roman"/>
        </w:rPr>
        <w:t xml:space="preserve">： </w:t>
      </w:r>
      <w:r>
        <w:rPr>
          <w:rFonts w:ascii="Times New Roman" w:hAnsi="Times New Roman" w:cs="Times New Roman"/>
          <w:smallCaps/>
        </w:rPr>
        <w:t xml:space="preserve">时间</w:t>
      </w:r>
      <w:r>
        <w:rPr>
          <w:rFonts w:ascii="Times New Roman" w:hAnsi="Times New Roman" w:cs="Times New Roman"/>
        </w:rPr>
        <w:t xml:space="preserve">、</w:t>
      </w:r>
      <w:r>
        <w:rPr>
          <w:rFonts w:ascii="Times New Roman" w:hAnsi="Times New Roman" w:cs="Times New Roman"/>
          <w:smallCaps/>
        </w:rPr>
        <w:t xml:space="preserve">差异与</w:t>
      </w:r>
      <w:r>
        <w:rPr>
          <w:rFonts w:ascii="Times New Roman" w:hAnsi="Times New Roman" w:cs="Times New Roman"/>
          <w:smallCaps/>
        </w:rPr>
        <w:t xml:space="preserve">边界</w:t>
      </w:r>
      <w:r>
        <w:rPr>
          <w:rFonts w:ascii="Times New Roman" w:hAnsi="Times New Roman" w:cs="Times New Roman"/>
        </w:rPr>
        <w:t xml:space="preserve">》第54-76页（海德伦·弗里泽（主编），</w:t>
      </w:r>
      <w:r>
        <w:rPr>
          <w:rFonts w:ascii="Times New Roman" w:hAnsi="Times New Roman" w:cs="Times New Roman"/>
        </w:rPr>
        <w:t xml:space="preserve">伯格汉出版社，2002年）（身份被视为指称共同性的建构，其具体化体现在“其与自身及世界的实践关系中，以及个体成员与自身及世界的关系中”，同上，第71页）。</w:t>
      </w:r>
    </w:p>
  </w:footnote>
  <w:footnote w:id="19">
    <w:p w:rsidR="004817E5" w:rsidRDefault="00000000" w14:paraId="07E27206"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关于基础方法，参见例如：Peter J. </w:t>
      </w:r>
      <w:r>
        <w:rPr>
          <w:rFonts w:ascii="Times New Roman" w:hAnsi="Times New Roman" w:cs="Times New Roman"/>
        </w:rPr>
        <w:t xml:space="preserve">Dennning，《虚拟内存》，《ACM Computing Surveys》（CSUR）第2卷第3期，第153–189页（1970年）；可访问 https://doi.org/10.1145/356571.356573； 关于当代议题，参见例如：Ciprian </w:t>
      </w:r>
      <w:r>
        <w:rPr>
          <w:rFonts w:ascii="Times New Roman" w:hAnsi="Times New Roman" w:cs="Times New Roman"/>
        </w:rPr>
        <w:t xml:space="preserve">Pungilă</w:t>
      </w:r>
      <w:r>
        <w:rPr>
          <w:rFonts w:ascii="Times New Roman" w:hAnsi="Times New Roman" w:cs="Times New Roman"/>
        </w:rPr>
        <w:t xml:space="preserve">、Otilia Muntean、Andreea-Rebeca Tonu，《BRIDGE： 一种用于异构架构中链拓扑表示的内存高效、与区块链无关的层，作者链接打开覆盖面板，733《信息科学》122911（2026年4月25日）；可访问 https://doi.org/10.1016/j.ins.2025.122911。</w:t>
      </w:r>
    </w:p>
  </w:footnote>
  <w:footnote w:id="20">
    <w:p w:rsidR="004817E5" w:rsidRDefault="00000000" w14:paraId="153CFA11"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参见，例如，卡姆兰·艾哈迈德·阿万、伊克拉姆·乌德·丁、艾哈迈德·阿尔莫格伦以及金秉晟，《</w:t>
      </w:r>
      <w:r>
        <w:rPr>
          <w:rFonts w:ascii="Times New Roman" w:hAnsi="Times New Roman" w:cs="Times New Roman"/>
          <w:i/>
          <w:iCs/>
        </w:rPr>
        <w:t xml:space="preserve">元宇宙中基于区块链的虚拟实体信任管理：虚拟形象与虚拟组织交互模型</w:t>
      </w:r>
      <w:r>
        <w:rPr>
          <w:rFonts w:ascii="Times New Roman" w:hAnsi="Times New Roman" w:cs="Times New Roman"/>
        </w:rPr>
        <w:t xml:space="preserve">》，《IEEE Access》（2023年11月30日）；可访问 0.1109/ACCESS.2023.3337806。</w:t>
      </w:r>
    </w:p>
  </w:footnote>
  <w:footnote w:id="21">
    <w:p w:rsidRPr="00EF62D0" w:rsidR="00500853" w:rsidP="00500853" w:rsidRDefault="00500853" w14:paraId="77E7E956" w14:textId="55B395E1">
      <w:pPr>
        <w:pStyle w:val="FootnoteText"/>
        <w:rPr>
          <w:rFonts w:ascii="Times New Roman" w:hAnsi="Times New Roman" w:cs="Times New Roman"/>
        </w:rPr>
      </w:pPr>
      <w:r w:rsidRPr="00EF62D0">
        <w:rPr>
          <w:rStyle w:val="FootnoteReference"/>
          <w:rFonts w:ascii="Times New Roman" w:hAnsi="Times New Roman" w:cs="Times New Roman"/>
        </w:rPr>
        <w:footnoteRef/>
      </w:r>
      <w:r>
        <w:rPr>
          <w:rFonts w:ascii="Times New Roman" w:hAnsi="Times New Roman" w:cs="Times New Roman"/>
        </w:rPr>
        <w:t xml:space="preserve"> 在正常运行的区块链中不会发生直接覆盖。一旦区块经过验证并添加到链中，对其进行修改将破坏与后续所有区块的加密链接，且被修改的副本会被其他节点拒绝。该账本更准确地描述为“仅追加”式。错误不会被删除，而是通过后续条目进行更正，因此原始交易及其更正内容均保持可见。</w:t>
      </w:r>
    </w:p>
    <w:p w:rsidRPr="00EF62D0" w:rsidR="00500853" w:rsidRDefault="00224989" w14:paraId="0592FD88" w14:textId="76CE67F7">
      <w:pPr>
        <w:pStyle w:val="FootnoteText"/>
        <w:rPr>
          <w:rFonts w:ascii="Times New Roman" w:hAnsi="Times New Roman" w:cs="Times New Roman"/>
        </w:rPr>
      </w:pPr>
      <w:r>
        <w:rPr>
          <w:rFonts w:ascii="Times New Roman" w:hAnsi="Times New Roman" w:cs="Times New Roman"/>
        </w:rPr>
        <w:t xml:space="preserve">然而，这种不可篡改性是相对的，而非绝对的。 控制网络多数算力或权益的参与者可以通过生成一条替代链来重写近期历史，即所谓的“51%攻击”，这种攻击成本高昂，因此最可能针对规模较小的网络。运行该链的社区也可以达成共识，偏离其记录的历史，而且该链所依赖的密码学基于某些难度假设，而量子计算可能会削弱这些假设。这两种可能性将在</w:t>
      </w:r>
      <w:r>
        <w:rPr>
          <w:rFonts w:ascii="Times New Roman" w:hAnsi="Times New Roman" w:cs="Times New Roman"/>
          <w:i/>
          <w:iCs/>
        </w:rPr>
        <w:t xml:space="preserve">下文</w:t>
      </w:r>
      <w:r>
        <w:rPr>
          <w:rFonts w:ascii="Times New Roman" w:hAnsi="Times New Roman" w:cs="Times New Roman"/>
        </w:rPr>
        <w:t xml:space="preserve">第五</w:t>
      </w:r>
      <w:r>
        <w:rPr>
          <w:rFonts w:ascii="Times New Roman" w:hAnsi="Times New Roman" w:cs="Times New Roman"/>
        </w:rPr>
        <w:t xml:space="preserve">部分</w:t>
      </w:r>
      <w:r>
        <w:rPr>
          <w:rFonts w:ascii="Times New Roman" w:hAnsi="Times New Roman" w:cs="Times New Roman"/>
        </w:rPr>
        <w:t xml:space="preserve">二中</w:t>
      </w:r>
      <w:r>
        <w:rPr>
          <w:rFonts w:ascii="Times New Roman" w:hAnsi="Times New Roman" w:cs="Times New Roman"/>
        </w:rPr>
        <w:t xml:space="preserve">进行讨论</w:t>
      </w:r>
      <w:r>
        <w:rPr>
          <w:rFonts w:ascii="Times New Roman" w:hAnsi="Times New Roman" w:cs="Times New Roman"/>
        </w:rPr>
        <w:t xml:space="preserve">。</w:t>
      </w:r>
    </w:p>
  </w:footnote>
  <w:footnote w:id="22">
    <w:p w:rsidR="002048A4" w:rsidRDefault="002048A4" w14:paraId="7F20DF5C" w14:textId="1861C8A8">
      <w:pPr>
        <w:pStyle w:val="FootnoteText"/>
      </w:pPr>
      <w:r>
        <w:rPr>
          <w:rStyle w:val="FootnoteReference"/>
        </w:rPr>
        <w:footnoteRef/>
      </w:r>
      <w:r>
        <w:fldChar w:fldCharType="begin"/>
      </w:r>
      <w:r w:rsidR="00C04038">
        <w:instrText xml:space="preserve"> ADDIN ZOTERO_ITEM CSL_CITATION {"citationID":"s0ilvvcO","properties":{"formattedCitation":"Larry Cat\\uc0\\u225{} Backer, {\\i{}Trust Platforms: The Digitalization of Corporate Governance and the Transformation of Trust in Polycentric Space}, 19 {\\scaps Regul. Gov.} 806 (2025).","plainCitation":"Larry Catá Backer, Trust Platforms: The Digitalization of Corporate Governance and the Transformation of Trust in Polycentric Space, 19 Regul. Gov. 806 (2025).","noteIndex":10},"citationItems":[{"id":127,"uris":["http://zotero.org/users/20142566/items/PZ5MB8MJ"],"itemData":{"id":127,"type":"article-journal","abstract":"This contribution considers the revolution in the concept and practice of trust in corporate governance that first moved from trust in “people” to trust in “compliance,” setting the stage for the digitization of trust measures and the digitalization of compliance. Part One examines the fundamental challenge, one that arises from the near simultaneous shift in cultural expectations about trust from trust in character to trust in measurement, and then the rise of cultures of data driven systems of compliance and accountability. Part Two then considers the transformation brought by challenge responses in the form of three closely interlinked impulses: digitization, digitalization of compliance-accountability regimes, and the emergence of platforms as spaces for trust interactions among stakeholders. Part Three then examines the current shape of these iterative dialectics, including connections between platforms and polycentric trust governance, and the detachment of trust from the entity that is its subject.","container-title":"Regulation &amp; Governance","DOI":"10.1111/rego.12614","ISSN":"1748-5991","issue":"3","language":"en","license":"© 2024 The Author(s). Regulation &amp; Governance published by John Wiley &amp; Sons Australia, Ltd.","note":"_eprint: https://onlinelibrary.wiley.com/doi/pdf/10.1111/rego.12614","page":"806-830","source":"Wiley Online Library","title":"Trust platforms: The digitalization of corporate governance and the transformation of trust in polycentric space","title-short":"Trust platforms","volume":"19","author":[{"family":"Backer","given":"Larry Catá"}],"issued":{"date-parts":[["2025"]]}}}],"schema":"https://github.com/citation-style-language/schema/raw/master/csl-citation.json"} </w:instrText>
      </w:r>
      <w:r>
        <w:fldChar w:fldCharType="separate"/>
      </w:r>
      <w:r>
        <w:rPr>
          <w:rFonts w:cs="Times New Roman"/>
          <w:kern w:val="0"/>
          <w:lang w:bidi="yi-Hebr"/>
        </w:rPr>
        <w:t xml:space="preserve"> </w:t>
      </w:r>
      <w:r>
        <w:rPr>
          <w:rFonts w:cs="Times New Roman"/>
          <w:kern w:val="0"/>
          <w:lang w:bidi="yi-Hebr"/>
        </w:rPr>
        <w:t>Larry Catá Backer</w:t>
      </w:r>
      <w:r>
        <w:t>, Trust Platforms: The Digitalization of Corporate Governance and the Transformation of Trust in Polycentric Space</w:t>
      </w:r>
      <w:r w:rsidRPr="002048A4">
        <w:rPr>
          <w:rFonts w:cs="Times New Roman"/>
          <w:kern w:val="0"/>
          <w:lang w:bidi="yi-Hebr"/>
        </w:rPr>
        <w:t xml:space="preserve">, 19 </w:t>
      </w:r>
      <w:r>
        <w:t>Regul. &amp; Gov.</w:t>
      </w:r>
      <w:r w:rsidRPr="002048A4">
        <w:rPr>
          <w:rFonts w:cs="Times New Roman"/>
          <w:kern w:val="0"/>
          <w:lang w:bidi="yi-Hebr"/>
        </w:rPr>
        <w:t xml:space="preserve"> 806 (2025).</w:t>
      </w:r>
      <w:r>
        <w:fldChar w:fldCharType="end"/>
      </w:r>
    </w:p>
  </w:footnote>
  <w:footnote w:id="23">
    <w:p w:rsidR="004817E5" w:rsidRDefault="00000000" w14:paraId="5F522641"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就此方面，可参考中国的社会信用体系。参见例如：</w:t>
      </w:r>
      <w:r>
        <w:rPr>
          <w:rFonts w:ascii="Times New Roman" w:hAnsi="Times New Roman" w:cs="Times New Roman"/>
        </w:rPr>
        <w:t xml:space="preserve">刘春成，</w:t>
      </w:r>
      <w:r>
        <w:rPr>
          <w:rFonts w:ascii="Times New Roman" w:hAnsi="Times New Roman" w:cs="Times New Roman"/>
          <w:i/>
          <w:iCs/>
        </w:rPr>
        <w:t xml:space="preserve">《中国的多重社会信用体系</w:t>
      </w:r>
      <w:r>
        <w:rPr>
          <w:rFonts w:ascii="Times New Roman" w:hAnsi="Times New Roman" w:cs="Times New Roman"/>
        </w:rPr>
        <w:t xml:space="preserve">》，《</w:t>
      </w:r>
      <w:r>
        <w:rPr>
          <w:rFonts w:ascii="Times New Roman" w:hAnsi="Times New Roman" w:cs="Times New Roman"/>
          <w:smallCaps/>
        </w:rPr>
        <w:t xml:space="preserve">经济社会学》</w:t>
      </w:r>
      <w:r>
        <w:rPr>
          <w:rFonts w:ascii="Times New Roman" w:hAnsi="Times New Roman" w:cs="Times New Roman"/>
        </w:rPr>
        <w:t xml:space="preserve">第21卷第1期</w:t>
      </w:r>
      <w:r>
        <w:rPr>
          <w:rFonts w:ascii="Times New Roman" w:hAnsi="Times New Roman" w:cs="Times New Roman"/>
        </w:rPr>
        <w:t xml:space="preserve">，第22-32页（2019年），</w:t>
      </w:r>
    </w:p>
  </w:footnote>
  <w:footnote w:id="24">
    <w:p w:rsidR="004175F7" w:rsidRDefault="004175F7" w14:paraId="6AB2E8DE" w14:textId="691BB74C">
      <w:pPr>
        <w:pStyle w:val="FootnoteText"/>
      </w:pPr>
      <w:r>
        <w:rPr>
          <w:rStyle w:val="FootnoteReference"/>
        </w:rPr>
        <w:footnoteRef/>
      </w:r>
      <w:r>
        <w:fldChar w:fldCharType="begin"/>
      </w:r>
      <w:r w:rsidR="00C04038">
        <w:instrText xml:space="preserve"> ADDIN ZOTERO_ITEM CSL_CITATION {"citationID":"wgP8okkN","properties":{"formattedCitation":"See Larry Cat\\uc0\\u225{} Backer, {\\i{}The Soulful Machine, the Virtual Person, and the \\uc0\\u8220{}Human\\uc0\\u8221{} Condition: An Encounter with Jan M. Broekman, Knowledge in Change: The Semiotics of Cognition and Conversion (Cham, Switzerland: Springer Nature, 2023)}, 37 {\\scaps Int. J. Semiot. Law - Rev. Int. S\\uc0\\u233{}miot. Jurid.} 969 (2024); 8 {\\scaps Jan M. Broekman}, {\\scaps Knowledge in Change: The Semiotics of Cognition and Conversion} (2023), https://link.springer.com/10.1007/978-3-031-23001-1; Niklas Luhmann, {\\i{}Sign as Form}, {\\i{}in} {\\scaps Problems of Form} 46 (Dirk Baecker ed., 1999), https://www.degruyter.com/document/doi/10.1515/9781503617698-005/html; Vladislav Valentinov, {\\i{}Wiener and Luhmann on Feedback: From Complexity to Sustainability}, 46 {\\scaps Kybernetes} 386 (2017).","plainCitation":"See Larry Catá Backer, The Soulful Machine, the Virtual Person, and the “Human” Condition: An Encounter with Jan M. Broekman, Knowledge in Change: The Semiotics of Cognition and Conversion (Cham, Switzerland: Springer Nature, 2023), 37 Int. J. Semiot. Law - Rev. Int. Sémiot. Jurid. 969 (2024); 8 Jan M. Broekman, Knowledge in Change: The Semiotics of Cognition and Conversion (2023), https://link.springer.com/10.1007/978-3-031-23001-1; Niklas Luhmann, Sign as Form, in Problems of Form 46 (Dirk Baecker ed., 1999), https://www.degruyter.com/document/doi/10.1515/9781503617698-005/html; Vladislav Valentinov, Wiener and Luhmann on Feedback: From Complexity to Sustainability, 46 Kybernetes 386 (2017).","noteIndex":11},"citationItems":[{"id":52,"uris":["http://zotero.org/users/20142566/items/TMJVLP43"],"itemData":{"id":52,"type":"article-journal","container-title":"International Journal for the Semiotics of Law - Revue internationale de Sémiotique juridique","DOI":"10.1007/s11196-023-10065-4","ISSN":"0952-8059, 1572-8722","issue":"3","journalAbbreviation":"Int J Semiot Law","language":"en","page":"969-1083","source":"DOI.org (Crossref)","title":"The Soulful Machine, the Virtual Person, and the “Human” Condition: An Encounter with Jan M. Broekman, Knowledge in Change: The Semiotics of Cognition and Conversion (Cham, Switzerland: Springer Nature, 2023)","title-short":"The Soulful Machine, the Virtual Person, and the “Human” Condition","volume":"37","author":[{"family":"Backer","given":"Larry Catá"}],"issued":{"date-parts":[["2024",5]]}},"prefix":"See"},{"id":135,"uris":["http://zotero.org/users/20142566/items/YH63TXDJ"],"itemData":{"id":135,"type":"book","collection-title":"Law and Visual Jurisprudence","DOI":"10.1007/978-3-031-23001-1","ISBN":"978-3-031-23000-4","language":"en","license":"https://www.springernature.com/gp/researchers/text-and-data-mining","publisher":"Springer Nature Switzerland","publisher-place":"Cham","source":"DOI.org (Crossref)","title":"Knowledge in Change: The Semiotics of Cognition and Conversion","title-short":"Knowledge in Change","URL":"https://link.springer.com/10.1007/978-3-031-23001-1","volume":"8","author":[{"family":"Broekman","given":"Jan M."}],"accessed":{"date-parts":[["2026",4,13]]},"issued":{"date-parts":[["2023"]]}}},{"id":126,"uris":["http://zotero.org/users/20142566/items/K242FQCA"],"itemData":{"id":126,"type":"chapter","container-title":"Problems of Form","DOI":"10.1515/9781503617698-005","ISBN":"978-1-5036-1769-8","page":"46-63","publisher":"Stanford University Press","source":"DOI.org (Crossref)","title":"Sign as Form","URL":"https://www.degruyter.com/document/doi/10.1515/9781503617698-005/html","editor":[{"family":"Baecker","given":"Dirk"}],"author":[{"family":"Luhmann","given":"Niklas"}],"accessed":{"date-parts":[["2026",4,13]]},"issued":{"date-parts":[["1999",8,1]]}}},{"id":125,"uris":["http://zotero.org/users/20142566/items/L67S9CUS"],"itemData":{"id":125,"type":"article-journal","abstract":"The rise of the general systems theory in the twentieth century would not have been possible without the concept of feedback. Of special interest to the present paper is Niklas Luhmann’s reconstruction and critique of Wiener’s cybernetic approach to the feedback concept. Luhmann has suggested that the operation of the feedback-controlled systems potentially poses problems of sustainability. The purpose of this paper is to explore this suggestion in more detail.The reconstruction of the arguments of Luhmann and Wiener shows that both scholars approached the feedback concept from the “system-environment” perspective. Luhmann takes system-environment relations to be inherently precarious. Wiener underscores the importance of the sensitivity of the feedback-controlled systems to their environment.Drawing on Norbert Wiener’s and Niklas Luhmann’s ideas, the paper shows that every specification of the feedback mechanism implies the drawing of the moral boundary that demarcates those parts of the environment to which the relevant system is sensitive from those to which it is not. A likely outcome of this boundary drawing is the maintenance of intra-systemic complexity at the cost of the deteriorating sustainability of the system in its environment.Until today, the general system theory has sought to explain organized complexity and rightly underscored the role of feedback in maintaining it, thereby inadvertently creating the chasm between the complexity and sustainability dimensions of human civilization. The present paper pleads for reorienting of the systems-theoretic analysis of the feedback concept toward closing this chasm.","container-title":"Kybernetes","DOI":"10.1108/K-11-2016-0317","ISSN":"0368-492X","issue":"3","journalAbbreviation":"Kybernetes","page":"386-399","source":"Silverchair","title":"Wiener and Luhmann on feedback: from complexity to sustainability","title-short":"Wiener and Luhmann on feedback","volume":"46","author":[{"family":"Valentinov","given":"Vladislav"}],"issued":{"date-parts":[["2017",3,6]]}}}],"schema":"https://github.com/citation-style-language/schema/raw/master/csl-citation.json"} </w:instrText>
      </w:r>
      <w:r>
        <w:fldChar w:fldCharType="separate"/>
      </w:r>
      <w:r>
        <w:rPr>
          <w:rFonts w:cs="Times New Roman"/>
          <w:kern w:val="0"/>
          <w:lang w:bidi="yi-Hebr"/>
        </w:rPr>
        <w:t xml:space="preserve"> 参见</w:t>
      </w:r>
      <w:r>
        <w:t xml:space="preserve"> Larry Catá Backer, The Soulful Machine, the Virtual Person, and the “Human” Condition: An Encounter with Jan M. Broekman, Knowledge in Change: The Semiotics of Cognition and Conversion (Cham</w:t>
      </w:r>
      <w:r>
        <w:rPr>
          <w:rFonts w:cs="Times New Roman"/>
          <w:kern w:val="0"/>
          <w:lang w:bidi="yi-Hebr"/>
        </w:rPr>
        <w:t xml:space="preserve">, </w:t>
      </w:r>
      <w:r>
        <w:t xml:space="preserve">Switzerland: Springer Nature, 2023), </w:t>
      </w:r>
      <w:r>
        <w:rPr>
          <w:rFonts w:cs="Times New Roman"/>
          <w:kern w:val="0"/>
          <w:lang w:bidi="yi-Hebr"/>
        </w:rPr>
        <w:t>37</w:t>
      </w:r>
      <w:r>
        <w:t xml:space="preserve"> Int. J. Semiot. Law – Rev. Int. Sémiot. Jurid</w:t>
      </w:r>
      <w:r w:rsidRPr="00A74209" w:rsidR="00A74209">
        <w:rPr>
          <w:rFonts w:cs="Times New Roman"/>
          <w:smallCaps/>
          <w:kern w:val="0"/>
          <w:lang w:bidi="yi-Hebr"/>
        </w:rPr>
        <w:t>.</w:t>
      </w:r>
      <w:r>
        <w:rPr>
          <w:rFonts w:cs="Times New Roman"/>
          <w:kern w:val="0"/>
          <w:lang w:bidi="yi-Hebr"/>
        </w:rPr>
        <w:t xml:space="preserve"> 969 (2024); 8</w:t>
      </w:r>
      <w:r>
        <w:t xml:space="preserve"> Jan M. Broekman, Knowledge in Change: The Semiotics of Cognition and Conversion (2023), https://link.springer.com/10.1007/978-3-031-23001-1; Niklas Luhmann, Sign as Form</w:t>
      </w:r>
      <w:r w:rsidRPr="00A74209" w:rsidR="00A74209">
        <w:rPr>
          <w:rFonts w:cs="Times New Roman"/>
          <w:kern w:val="0"/>
          <w:lang w:bidi="yi-Hebr"/>
        </w:rPr>
        <w:t xml:space="preserve">, </w:t>
      </w:r>
      <w:r>
        <w:t>in Problems of Form 46 (Dirk Baecker ed., 1999), https://www.degruyter.com/document/doi/10.1515/9781503617698-005/html; Vladislav Valentinov, Wiener and Luhmann on Feedback: From Complexity to Sustainability</w:t>
      </w:r>
      <w:r>
        <w:rPr>
          <w:rFonts w:cs="Times New Roman"/>
          <w:kern w:val="0"/>
          <w:lang w:bidi="yi-Hebr"/>
        </w:rPr>
        <w:t>, 46</w:t>
      </w:r>
      <w:r>
        <w:t xml:space="preserve"> Kybernetes </w:t>
      </w:r>
      <w:r>
        <w:rPr>
          <w:rFonts w:cs="Times New Roman"/>
          <w:kern w:val="0"/>
          <w:lang w:bidi="yi-Hebr"/>
        </w:rPr>
        <w:t>386 (2017).</w:t>
      </w:r>
      <w:r>
        <w:fldChar w:fldCharType="end"/>
      </w:r>
    </w:p>
  </w:footnote>
  <w:footnote w:id="25">
    <w:p w:rsidRPr="00EF62D0" w:rsidR="00500853" w:rsidRDefault="00500853" w14:paraId="6A6710EA" w14:textId="2ADBF908">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并非每个节点都承担这一功能，即托管账本副本。目前有3种类型的节点在使用。全节点：存储完整的区块链历史记录并验证所有交易；轻节点：仅存储部分数据，并依赖全节点进行验证；挖矿节点：提议并添加新区块（此处涉及工作量证明/权益证明机制）。</w:t>
      </w:r>
    </w:p>
  </w:footnote>
  <w:footnote w:id="26">
    <w:p w:rsidRPr="00EF62D0" w:rsidR="00E844CD" w:rsidRDefault="00E844CD" w14:paraId="022FC0F1" w14:textId="01DD6447">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基于哈希编码构建——即输入数据集的数字指纹。 </w:t>
      </w:r>
    </w:p>
  </w:footnote>
  <w:footnote w:id="27">
    <w:p w:rsidR="00090631" w:rsidRDefault="00090631" w14:paraId="5102A79C" w14:textId="7F810C91">
      <w:pPr>
        <w:pStyle w:val="FootnoteText"/>
      </w:pPr>
      <w:r>
        <w:rPr>
          <w:rStyle w:val="FootnoteReference"/>
        </w:rPr>
        <w:footnoteRef/>
      </w:r>
      <w:r>
        <w:fldChar w:fldCharType="begin"/>
      </w:r>
      <w:r w:rsidR="00C04038">
        <w:instrText xml:space="preserve"> ADDIN ZOTERO_ITEM CSL_CITATION {"citationID":"OL4FSJL2","properties":{"formattedCitation":"J. Scott Brennen &amp; Daniel Kreiss, {\\i{}Digitalization}, {\\i{}in} {\\scaps The International Encyclopedia of Communication Theory and Philosophy} 1 (2016), https://onlinelibrary.wiley.com/doi/abs/10.1002/9781118766804.wbiect111.","plainCitation":"J. Scott Brennen &amp; Daniel Kreiss, Digitalization, in The International Encyclopedia of Communication Theory and Philosophy 1 (2016), https://onlinelibrary.wiley.com/doi/abs/10.1002/9781118766804.wbiect111.","noteIndex":14},"citationItems":[{"id":56,"uris":["http://zotero.org/users/20142566/items/EZNVMG5N"],"itemData":{"id":56,"type":"chapter","abstract":"“Digitization” and “digitalization” are two conceptual terms that are closely associated and often used interchangeably in a broad range of literatures. This entry considers each term in detail and argues that there is analytical value in explicitly making a clear distinction between them. The entry defines digitization as the material process of converting analog streams of information into digital bits. It defines digitalization as the way many domains of social life are restructured around digital communication and media infrastructures.","container-title":"The International Encyclopedia of Communication Theory and Philosophy","DOI":"10.1002/9781118766804.wbiect111","ISBN":"978-1-118-76680-4","language":"en","license":"Copyright © 2016 John Wiley &amp; Sons, Inc.","note":"_eprint: https://onlinelibrary.wiley.com/doi/pdf/10.1002/9781118766804.wbiect111\nDOI: 10.1002/9781118766804.wbiect111","page":"1-11","publisher":"John Wiley &amp; Sons, Ltd","source":"Wiley Online Library","title":"Digitalization","URL":"https://onlinelibrary.wiley.com/doi/abs/10.1002/9781118766804.wbiect111","author":[{"family":"Brennen","given":"J. Scott"},{"family":"Kreiss","given":"Daniel"}],"accessed":{"date-parts":[["2026",4,6]]},"issued":{"date-parts":[["2016"]]}}}],"schema":"https://github.com/citation-style-language/schema/raw/master/csl-citation.json"} </w:instrText>
      </w:r>
      <w:r>
        <w:fldChar w:fldCharType="separate"/>
      </w:r>
      <w:r w:rsidRPr="00090631">
        <w:rPr>
          <w:rFonts w:cs="Times New Roman"/>
          <w:kern w:val="0"/>
          <w:lang w:bidi="yi-Hebr"/>
        </w:rPr>
        <w:t xml:space="preserve"> J. Scott Brennen &amp; Daniel Kreiss，《</w:t>
      </w:r>
      <w:r w:rsidRPr="00090631">
        <w:rPr>
          <w:rFonts w:cs="Times New Roman"/>
          <w:i/>
          <w:iCs/>
          <w:kern w:val="0"/>
          <w:lang w:bidi="yi-Hebr"/>
        </w:rPr>
        <w:t xml:space="preserve">数字化</w:t>
      </w:r>
      <w:r w:rsidRPr="00090631">
        <w:rPr>
          <w:rFonts w:cs="Times New Roman"/>
          <w:kern w:val="0"/>
          <w:lang w:bidi="yi-Hebr"/>
        </w:rPr>
        <w:t xml:space="preserve">, </w:t>
      </w:r>
      <w:r w:rsidRPr="00090631">
        <w:rPr>
          <w:rFonts w:cs="Times New Roman"/>
          <w:i/>
          <w:iCs/>
          <w:kern w:val="0"/>
          <w:lang w:bidi="yi-Hebr"/>
        </w:rPr>
        <w:t xml:space="preserve"> 》，载于</w:t>
      </w:r>
      <w:r w:rsidRPr="00090631">
        <w:rPr>
          <w:rFonts w:cs="Times New Roman"/>
          <w:smallCaps/>
          <w:kern w:val="0"/>
          <w:lang w:bidi="yi-Hebr"/>
        </w:rPr>
        <w:t xml:space="preserve">《国际传播理论与哲学百科全书》</w:t>
      </w:r>
      <w:r w:rsidRPr="00090631">
        <w:rPr>
          <w:rFonts w:cs="Times New Roman"/>
          <w:kern w:val="0"/>
          <w:lang w:bidi="yi-Hebr"/>
        </w:rPr>
        <w:t xml:space="preserve">第1卷（2016年），https://onlinelibrary.wiley.com/doi/abs/10.1002/9781118766804.wbiect111。</w:t>
      </w:r>
      <w:r>
        <w:fldChar w:fldCharType="end"/>
      </w:r>
    </w:p>
  </w:footnote>
  <w:footnote w:id="28">
    <w:p w:rsidRPr="00EF62D0" w:rsidR="000F71CD" w:rsidP="000F71CD" w:rsidRDefault="000F71CD" w14:paraId="6330810B" w14:textId="2539FFC4">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此处需注意：大多数区块链软件均</w:t>
      </w:r>
      <w:r w:rsidRPr="00EF62D0" w:rsidR="00DD59B7">
        <w:rPr>
          <w:rFonts w:ascii="Times New Roman" w:hAnsi="Times New Roman" w:cs="Times New Roman"/>
        </w:rPr>
        <w:t xml:space="preserve">由人类编写</w:t>
      </w:r>
      <w:r w:rsidRPr="00EF62D0">
        <w:rPr>
          <w:rFonts w:ascii="Times New Roman" w:hAnsi="Times New Roman" w:cs="Times New Roman"/>
        </w:rPr>
        <w:t xml:space="preserve">；其协议（比特币核心/以太坊、Solana）和编程语言（Solidity、Rust）均由人类设计/实现。因此，确实可以认为区块链具有非常“人性化”的基础。然而，生态系统中已有部分环节得到了人工智能的辅助——智能合约模板、形式化验证与编译器——以及通过机器验证代码来证明安全属性等。</w:t>
      </w:r>
    </w:p>
  </w:footnote>
  <w:footnote w:id="29">
    <w:p w:rsidRPr="00EF62D0" w:rsidR="00FE0FF3" w:rsidP="00FE0FF3" w:rsidRDefault="00FE0FF3" w14:paraId="19C9A3DA" w14:textId="3F64B6DB">
      <w:pPr>
        <w:pStyle w:val="FootnoteText"/>
        <w:rPr>
          <w:rFonts w:ascii="Times New Roman" w:hAnsi="Times New Roman" w:cs="Times New Roman"/>
        </w:rPr>
      </w:pPr>
      <w:r w:rsidRPr="00EF62D0">
        <w:rPr>
          <w:rStyle w:val="FootnoteReference"/>
          <w:rFonts w:ascii="Times New Roman" w:hAnsi="Times New Roman" w:cs="Times New Roman"/>
        </w:rPr>
        <w:footnoteRef/>
      </w:r>
      <w:r>
        <w:rPr>
          <w:rFonts w:ascii="Times New Roman" w:hAnsi="Times New Roman" w:cs="Times New Roman"/>
        </w:rPr>
        <w:t xml:space="preserve"> 按人类可读性逐渐降低的顺序大致排列如下：(1) 源代码（例如 Python、Solidity、Java）；(2) 汇编代码（例如 MOV、ADD），受过训练的人类经过努力仍可读懂；(3) 虚拟机字节码（例如 JVM 或 EVM 字节码）； (4) 机器码，即处理器指令集中的二进制指令；(5) 微代码，某些处理器通过它来实现自身的指令；以及 (6) 硬件描述语言（例如 Verilog、VHDL），它们描述电路本身，并在设计阶段编译为硅芯片，而非在运行时执行</w:t>
      </w:r>
      <w:r>
        <w:rPr>
          <w:rFonts w:ascii="Times New Roman" w:hAnsi="Times New Roman" w:cs="Times New Roman"/>
        </w:rPr>
        <w:t xml:space="preserve">。</w:t>
      </w:r>
      <w:r>
        <w:rPr>
          <w:rFonts w:ascii="Times New Roman" w:hAnsi="Times New Roman" w:cs="Times New Roman"/>
          <w:i/>
          <w:iCs/>
        </w:rPr>
        <w:t xml:space="preserve">下文第五</w:t>
      </w:r>
      <w:r>
        <w:rPr>
          <w:rFonts w:ascii="Times New Roman" w:hAnsi="Times New Roman" w:cs="Times New Roman"/>
        </w:rPr>
        <w:t xml:space="preserve">部分</w:t>
      </w:r>
      <w:r>
        <w:rPr>
          <w:rFonts w:ascii="Times New Roman" w:hAnsi="Times New Roman" w:cs="Times New Roman"/>
        </w:rPr>
        <w:t xml:space="preserve">将这些内容整合为五层。</w:t>
      </w:r>
    </w:p>
  </w:footnote>
  <w:footnote w:id="30">
    <w:p w:rsidRPr="00E75B3D" w:rsidR="00DB674A" w:rsidRDefault="00DB674A" w14:paraId="21B7852B" w14:textId="562010E0">
      <w:pPr>
        <w:pStyle w:val="FootnoteText"/>
      </w:pPr>
      <w:r>
        <w:rPr>
          <w:rStyle w:val="FootnoteReference"/>
        </w:rPr>
        <w:footnoteRef/>
      </w:r>
      <w:r>
        <w:fldChar w:fldCharType="begin"/>
      </w:r>
      <w:r w:rsidRPr="008628B0" w:rsidR="005F49D5">
        <w:instrText xml:space="preserve"> ADDIN ZOTERO_ITEM CSL_CITATION {"citationID":"QrhseLBk","properties":{"formattedCitation":"Georg Trogemann, {\\i{}Code und Maschine}, {\\i{}in} {\\scaps Code: Zwischen Operation und Narration} 41 (Andrea Gleiniger &amp; Georg Vrachliotis eds., 2012), https://www.degruyterbrill.com/document/doi/10.1515/9783034609333.41/html; Karen Yeung, {\\i{}Algorithmic Regulation: A Critical Interrogation}, 12 {\\scaps Regul. Gov.} 505 (2018).","plainCitation":"Georg Trogemann, Code und Maschine, in Code: Zwischen Operation und Narration 41 (Andrea Gleiniger &amp; Georg Vrachliotis eds., 2012), https://www.degruyterbrill.com/document/doi/10.1515/9783034609333.41/html; Karen Yeung, Algorithmic Regulation: A Critical Interrogation, 12 Regul. Gov. 505 (2018).","noteIndex":17},"citationItems":[{"id":124,"uris":["http://zotero.org/users/20142566/items/QSSGD74Q"],"itemData":{"id":124,"type":"chapter","container-title":"Code: Zwischen Operation und Narration","ISBN":"978-3-0346-0933-3","language":"de","page":"41-54","publisher":"Birkhäuser","source":"www.degruyterbrill.com","title":"Code und Maschine","URL":"https://www.degruyterbrill.com/document/doi/10.1515/9783034609333.41/html","author":[{"family":"Trogemann","given":"Georg"}],"editor":[{"family":"Gleiniger","given":"Andrea"},{"family":"Vrachliotis","given":"Georg"}],"accessed":{"date-parts":[["2026",4,13]]},"issued":{"date-parts":[["2012",12,13]]}}},{"id":18,"uris":["http://zotero.org/users/20142566/items/VEDAI87F"],"itemData":{"id":18,"type":"ar</w:instrText>
      </w:r>
      <w:r w:rsidRPr="008628B0" w:rsidR="005F49D5">
        <w:rPr>
          <w:lang w:val="de-DE"/>
        </w:rPr>
        <w:instrText xml:space="preserve">ticle-journal","abstract":"Innovations in networked digital communications technologies, including the rise of ‘Big Data’, ubiquitous computing and cloud storage systems, may be giving rise to a new system of social ordering known as algorithmic regulation. Algorithmic regulation refers to decision-making systems that regulate a domain of activity in order to manage risk or alter behaviour through continual computational generation of knowledge by systematically collecting data (in real time on a continuous basis) emitted directly from numerous dynamic components pertaining to the regulated environment in order to identify and, if necessary, automatically refine (or prompt refinement of) the system’s operations to attain a pre-specified goal.","container-title":"Regulation &amp; Governance","DOI":"10.1111/rego.12158","ISSN":"1748-5983, 1748-5991","issue":"4","journalAbbreviation":"Regulation &amp; Governance","language":"en","license":"http://onlinelibrary.wiley.com/termsAndConditions#vor","page":"505-523","source":"DOI.org (Crossref)","title":"Algorithmic Regulation: A Critical Interrogation","title-short":"Algorithmic regulation","volume":"12","author":[{"family":"Yeung","given":"Karen"}],"issued":{"date-parts":[["2018",12]]}}}],"schema":"https://github.com/citation-style-language/schema/raw/master/csl-citation.json"} </w:instrText>
      </w:r>
      <w:r>
        <w:fldChar w:fldCharType="separate"/>
      </w:r>
      <w:r>
        <w:rPr>
          <w:rFonts w:cs="Times New Roman"/>
          <w:kern w:val="0"/>
          <w:lang w:val="de-DE"/>
        </w:rPr>
        <w:t xml:space="preserve"> Georg Trogemann</w:t>
      </w:r>
      <w:r>
        <w:t>, Code und Maschine</w:t>
      </w:r>
      <w:r w:rsidRPr="008628B0" w:rsidR="005F49D5">
        <w:rPr>
          <w:rFonts w:cs="Times New Roman"/>
          <w:kern w:val="0"/>
          <w:lang w:val="de-DE"/>
        </w:rPr>
        <w:t xml:space="preserve">, </w:t>
      </w:r>
      <w:r>
        <w:t>in Code: Zwischen Operation und Narration 41 (Andrea</w:t>
      </w:r>
      <w:r>
        <w:rPr>
          <w:rFonts w:cs="Times New Roman"/>
          <w:kern w:val="0"/>
          <w:lang w:val="de-DE"/>
        </w:rPr>
        <w:t xml:space="preserve"> Gleiniger &amp; Georg Vrachliotis</w:t>
      </w:r>
      <w:r>
        <w:rPr>
          <w:rFonts w:cs="Times New Roman"/>
          <w:kern w:val="0"/>
          <w:lang w:val="de-DE"/>
        </w:rPr>
        <w:t xml:space="preserve"> </w:t>
      </w:r>
      <w:r>
        <w:t>eds., 2012),</w:t>
      </w:r>
      <w:r>
        <w:rPr>
          <w:rFonts w:cs="Times New Roman"/>
          <w:kern w:val="0"/>
          <w:lang w:val="de-DE"/>
        </w:rPr>
        <w:t xml:space="preserve"> </w:t>
      </w:r>
      <w:r>
        <w:rPr>
          <w:rFonts w:cs="Times New Roman"/>
          <w:kern w:val="0"/>
          <w:lang w:val="de-DE"/>
        </w:rPr>
        <w:t>https://www.degruyterbrill.com/document/doi/10.1515/9783034609333.41/html</w:t>
      </w:r>
      <w:r>
        <w:t xml:space="preserve">; </w:t>
      </w:r>
      <w:r>
        <w:rPr>
          <w:rFonts w:cs="Times New Roman"/>
          <w:kern w:val="0"/>
          <w:lang w:val="de-DE"/>
        </w:rPr>
        <w:t>Karen Yeung</w:t>
      </w:r>
      <w:r>
        <w:t>, Algorithmic Regulation: A Critical Interrogation</w:t>
      </w:r>
      <w:r>
        <w:rPr>
          <w:rFonts w:cs="Times New Roman"/>
          <w:kern w:val="0"/>
          <w:lang w:val="de-DE"/>
        </w:rPr>
        <w:t>, 12</w:t>
      </w:r>
      <w:r>
        <w:t xml:space="preserve"> </w:t>
      </w:r>
      <w:r>
        <w:rPr>
          <w:rFonts w:cs="Times New Roman"/>
          <w:smallCaps/>
          <w:kern w:val="0"/>
        </w:rPr>
        <w:t>Regul</w:t>
      </w:r>
      <w:r>
        <w:rPr>
          <w:rFonts w:cs="Times New Roman"/>
          <w:smallCaps/>
          <w:kern w:val="0"/>
          <w:lang w:val="de-DE"/>
        </w:rPr>
        <w:t>.</w:t>
      </w:r>
      <w:r>
        <w:t xml:space="preserve"> &amp; Gov. </w:t>
      </w:r>
      <w:r>
        <w:rPr>
          <w:rFonts w:cs="Times New Roman"/>
          <w:kern w:val="0"/>
        </w:rPr>
        <w:t>505 (2018).</w:t>
      </w:r>
      <w:r>
        <w:fldChar w:fldCharType="end"/>
      </w:r>
    </w:p>
  </w:footnote>
  <w:footnote w:id="31">
    <w:p w:rsidR="00F26AF4" w:rsidRDefault="00F26AF4" w14:paraId="45165FE0" w14:textId="42F0865D">
      <w:pPr>
        <w:pStyle w:val="FootnoteText"/>
      </w:pPr>
      <w:r>
        <w:rPr>
          <w:rStyle w:val="FootnoteReference"/>
        </w:rPr>
        <w:footnoteRef/>
      </w:r>
      <w:r>
        <w:fldChar w:fldCharType="begin"/>
      </w:r>
      <w:r w:rsidR="00C04038">
        <w:instrText xml:space="preserve"> ADDIN ZOTERO_ITEM CSL_CITATION {"citationID":"fv5iM9vt","properties":{"formattedCitation":"{\\scaps Jan M. Broekman &amp; Larry Cat\\uc0\\u225{} Backer}, {\\scaps Lawyers Making Meaning: The Semiotics of Law in Legal Education II} 93 (2013).","plainCitation":"Jan M. Broekman &amp; Larry Catá Backer, Lawyers Making Meaning: The Semiotics of Law in Legal Education II 93 (2013).","noteIndex":18},"citationItems":[{"id":123,"uris":["http://zotero.org/users/20142566/items/BJJU63TZ"],"itemData":{"id":123,"type":"book","call-number":"K213 .B753 2013","ISBN":"978-94-007-5457-7","number-of-pages":"257","publisher":"Springer","publisher-place":"Dordrecht ; New York","source":"Library of Congress ISBN","title":"Lawyers making meaning: the semiotics of law in legal education II","title-short":"Lawyers making meaning","author":[{"family":"Broekman","given":"Jan M."},{"family":"Backer","given":"Larry Catá"}],"issued":{"date-parts":[["2013"]]}},"locator":"93","label":"page"}],"schema":"https://github.com/citation-style-language/schema/raw/master/csl-citation.json"} </w:instrText>
      </w:r>
      <w:r>
        <w:fldChar w:fldCharType="separate"/>
      </w:r>
      <w:r w:rsidRPr="00E7707C" w:rsidR="00E7707C">
        <w:rPr>
          <w:rFonts w:cs="Times New Roman"/>
          <w:smallCaps/>
          <w:kern w:val="0"/>
          <w:lang w:bidi="yi-Hebr"/>
        </w:rPr>
        <w:t xml:space="preserve"> Jan M. Broekman &amp; Larry Catá Backer</w:t>
      </w:r>
      <w:r w:rsidRPr="00E7707C" w:rsidR="00E7707C">
        <w:rPr>
          <w:rFonts w:cs="Times New Roman"/>
          <w:kern w:val="0"/>
          <w:lang w:bidi="yi-Hebr"/>
        </w:rPr>
        <w:t xml:space="preserve">, </w:t>
      </w:r>
      <w:r w:rsidRPr="00E7707C" w:rsidR="00E7707C">
        <w:rPr>
          <w:rFonts w:cs="Times New Roman"/>
          <w:smallCaps/>
          <w:kern w:val="0"/>
          <w:lang w:bidi="yi-Hebr"/>
        </w:rPr>
        <w:t xml:space="preserve"> 《律师的意义建构：法律教育中的法律符号学 II》</w:t>
      </w:r>
      <w:r w:rsidRPr="00E7707C" w:rsidR="00E7707C">
        <w:rPr>
          <w:rFonts w:cs="Times New Roman"/>
          <w:kern w:val="0"/>
          <w:lang w:bidi="yi-Hebr"/>
        </w:rPr>
        <w:t xml:space="preserve"> 93 (2013).</w:t>
      </w:r>
      <w:r>
        <w:fldChar w:fldCharType="end"/>
      </w:r>
    </w:p>
  </w:footnote>
  <w:footnote w:id="32">
    <w:p w:rsidRPr="00303F19" w:rsidR="00303F19" w:rsidP="00303F19" w:rsidRDefault="00303F19" w14:paraId="7A9FE3AA" w14:textId="42B858E5">
      <w:pPr>
        <w:pStyle w:val="FootnoteText"/>
      </w:pPr>
      <w:r>
        <w:rPr>
          <w:rStyle w:val="FootnoteReference"/>
        </w:rPr>
        <w:footnoteRef/>
      </w:r>
      <w:r>
        <w:t xml:space="preserve"> </w:t>
      </w:r>
      <w:r w:rsidR="003C496D">
        <w:t xml:space="preserve">参见</w:t>
      </w:r>
      <w:r w:rsidR="003C496D">
        <w:t xml:space="preserve">，例如，西尔维娅</w:t>
      </w:r>
      <w:r w:rsidR="003C496D">
        <w:t xml:space="preserve">·塞门津，</w:t>
      </w:r>
      <w:r w:rsidRPr="003C496D" w:rsidR="003C496D">
        <w:t xml:space="preserve">《“区块链向善”：探索区块链领域中的社会公益概念</w:t>
      </w:r>
      <w:r w:rsidR="003C496D">
        <w:t xml:space="preserve">》，</w:t>
      </w:r>
      <w:r w:rsidRPr="004E3A22" w:rsidR="003C496D">
        <w:rPr>
          <w:smallCaps/>
        </w:rPr>
        <w:t xml:space="preserve">《大数据与社会》</w:t>
      </w:r>
      <w:r w:rsidR="003C496D">
        <w:t xml:space="preserve">第10卷第2期</w:t>
      </w:r>
      <w:r w:rsidR="003C496D">
        <w:t xml:space="preserve">（2023年）；可访问 [</w:t>
      </w:r>
      <w:r w:rsidRPr="003C496D" w:rsidR="003C496D">
        <w:t xml:space="preserve">https://journals.sagepub.com/doi/epub/10.1177/20539517231205479</w:t>
      </w:r>
      <w:r w:rsidR="003C496D">
        <w:t xml:space="preserve">]；</w:t>
      </w:r>
      <w:r w:rsidRPr="004E3A22" w:rsidR="003C496D">
        <w:rPr>
          <w:rFonts w:ascii="Cambria" w:hAnsi="Cambria"/>
        </w:rPr>
        <w:t xml:space="preserve"> </w:t>
      </w:r>
      <w:r>
        <w:t xml:space="preserve">梅琳达·杜利（Melinda Dooley）与安娜·科马斯-奎因（Anna Comas-Quinn），《技术获取与社会正义》，载于</w:t>
      </w:r>
      <w:r w:rsidRPr="004E3A22">
        <w:rPr>
          <w:smallCaps/>
        </w:rPr>
        <w:t xml:space="preserve">《技术介导的语言教学：从社会正义到人工智能</w:t>
      </w:r>
      <w:r>
        <w:t xml:space="preserve">》（哈维尔</w:t>
      </w:r>
      <w:r w:rsidRPr="00303F19">
        <w:t xml:space="preserve">·穆尼奥斯</w:t>
      </w:r>
      <w:r w:rsidRPr="00303F19">
        <w:t xml:space="preserve">-巴索尔斯</w:t>
      </w:r>
      <w:r w:rsidRPr="00303F19">
        <w:t xml:space="preserve">、</w:t>
      </w:r>
      <w:r>
        <w:t xml:space="preserve">玛丽亚</w:t>
      </w:r>
      <w:r w:rsidRPr="00303F19">
        <w:t xml:space="preserve">·富埃尔特斯·古铁雷斯</w:t>
      </w:r>
      <w:r w:rsidRPr="00303F19">
        <w:t xml:space="preserve">与</w:t>
      </w:r>
      <w:r w:rsidRPr="00303F19">
        <w:t xml:space="preserve">路易斯·塞雷索合编</w:t>
      </w:r>
      <w:r>
        <w:t xml:space="preserve">，</w:t>
      </w:r>
      <w:r w:rsidR="006E6DC9">
        <w:t xml:space="preserve">Multilingual </w:t>
      </w:r>
      <w:r>
        <w:t xml:space="preserve">Matters出版社，2025年）</w:t>
      </w:r>
      <w:r>
        <w:t xml:space="preserve">第21-42页</w:t>
      </w:r>
    </w:p>
  </w:footnote>
  <w:footnote w:id="33">
    <w:p w:rsidR="006924C4" w:rsidRDefault="006924C4" w14:paraId="0B2834E9" w14:textId="10D57962">
      <w:pPr>
        <w:pStyle w:val="FootnoteText"/>
      </w:pPr>
      <w:r>
        <w:rPr>
          <w:rStyle w:val="FootnoteReference"/>
        </w:rPr>
        <w:footnoteRef/>
      </w:r>
      <w:r>
        <w:fldChar w:fldCharType="begin"/>
      </w:r>
      <w:r w:rsidR="00C04038">
        <w:instrText xml:space="preserve"> ADDIN ZOTERO_ITEM CSL_CITATION {"citationID":"k6FTTrHr","properties":{"formattedCitation":"Karl K\\uc0\\u246{}ssler, {\\i{}Federalism}, {\\i{}in} {\\scaps Constitutional Interpretation} 201 (Sujit Choudhry, Catherine O\\uc0\\u8217{}Regan, &amp; Carlos Bernal-Pulido eds., 2025), https://www.elgaronline.com/view/book/9781800371743/chapter10.xml; See also Eug\\uc0\\u233{}nie Brouillet &amp; Tom Mullen, {\\i{}Constitutional Jurisprudence on Federalism and Devolution in UK and Canada}, {\\i{}in} {\\scaps Constitutional Politics and the Territorial Question in Canada and the United Kingdom} 47 (Michael Keating &amp; Guy Laforest eds., 2018), http://link.springer.com/10.1007/978-3-319-58074-6_3.","plainCitation":"Karl Kössler, Federalism, in Constitutional Interpretation 201 (Sujit Choudhry, Catherine O’Regan, &amp; Carlos Bernal-Pulido eds., 2025), https://www.elgaronline.com/view/book/9781800371743/chapter10.xml; See also Eugénie Brouillet &amp; Tom Mullen, Constitutional Jurisprudence on Federalism and Devolution in UK and Canada, in Constitutional Politics and the Territorial Question in Canada and the United Kingdom 47 (Michael Keating &amp; Guy Laforest eds., 2018), http://link.springer.com/10.1007/978-3-319-58074-6_3.","noteIndex":19},"citationItems":[{"id":122,"uris":["http://zotero.org/users/20142566/items/75QATJN3"],"itemData":{"id":122,"type":"chapter","container-title":"Constitutional Interpretation","DOI":"10.4337/9781800371743.00020","ISBN":"978-1-80037-174-3","page":"201-219","publisher":"Edward Elgar Publishing","source":"DOI.org (Crossref)","title":"Federalism","URL":"https://www.elgaronline.com/view/book/9781800371743/chapter10.xml","editor":[{"family":"Choudhry","given":"Sujit"},{"family":"O’Regan","given":"Catherine"},{"family":"Bernal-Pulido","given":"Carlos"}],"author":[{"family":"Kössler","given":"Karl"}],"accessed":{"date-parts":[["2026",4,13]]},"issued":{"date-parts":[["2025",12,4]]}}},{"id":121,"uris":["http://zotero.org/users/20142566/items/TLE3LH8L"],"itemData":{"id":121,"type":"chapter","container-title":"Constitutional Politics and the Territorial Question in Canada and the United Kingdom","DOI":"10.1007/978-3-319-58074-6_3","ISBN":"978-3-319-58073-9","language":"en","page":"47-77","publisher":"Springer International Publishing","publisher-place":"Cham","source":"DOI.org (Crossref)","title":"Constitutional Jurisprudence on Federalism and Devolution in UK and Canada","URL":"http://link.springer.com/10.1007/978-3-319-58074-6_3","editor":[{"family":"Keating","given":"Michael"},{"family":"Laforest","given":"Guy"}],"author":[{"family":"Brouillet","given":"Eugénie"},{"family":"Mullen","given":"Tom"}],"accessed":{"date-parts":[["2026",4,13]]},"issued":{"date-parts":[["2018"]]}},"prefix":"See also"}],"schema":"https://github.com/citation-style-language/schema/raw/master/csl-citation.json"} </w:instrText>
      </w:r>
      <w:r>
        <w:fldChar w:fldCharType="separate"/>
      </w:r>
      <w:r w:rsidRPr="006924C4">
        <w:rPr>
          <w:rFonts w:cs="Times New Roman"/>
          <w:kern w:val="0"/>
          <w:lang w:bidi="yi-Hebr"/>
        </w:rPr>
        <w:t xml:space="preserve"> 卡尔·科斯勒（Karl Kössler），</w:t>
      </w:r>
      <w:r w:rsidRPr="006924C4">
        <w:rPr>
          <w:rFonts w:cs="Times New Roman"/>
          <w:i/>
          <w:iCs/>
          <w:kern w:val="0"/>
          <w:lang w:bidi="yi-Hebr"/>
        </w:rPr>
        <w:t xml:space="preserve">《联邦制》</w:t>
      </w:r>
      <w:r w:rsidRPr="006924C4">
        <w:rPr>
          <w:rFonts w:cs="Times New Roman"/>
          <w:kern w:val="0"/>
          <w:lang w:bidi="yi-Hebr"/>
        </w:rPr>
        <w:t xml:space="preserve">, </w:t>
      </w:r>
      <w:r w:rsidRPr="006924C4">
        <w:rPr>
          <w:rFonts w:cs="Times New Roman"/>
          <w:i/>
          <w:iCs/>
          <w:kern w:val="0"/>
          <w:lang w:bidi="yi-Hebr"/>
        </w:rPr>
        <w:t xml:space="preserve"> ，载于</w:t>
      </w:r>
      <w:r w:rsidRPr="006924C4">
        <w:rPr>
          <w:rFonts w:cs="Times New Roman"/>
          <w:smallCaps/>
          <w:kern w:val="0"/>
          <w:lang w:bidi="yi-Hebr"/>
        </w:rPr>
        <w:t xml:space="preserve">《宪法解释》</w:t>
      </w:r>
      <w:r w:rsidRPr="006924C4">
        <w:rPr>
          <w:rFonts w:cs="Times New Roman"/>
          <w:kern w:val="0"/>
          <w:lang w:bidi="yi-Hebr"/>
        </w:rPr>
        <w:t xml:space="preserve">第201期（苏吉特·乔杜里、凯瑟琳·奥雷根和卡洛斯·贝尔纳尔-普利多主编，2025年），https://www.elgaronline.com/view/book/9781800371743/chapter10.xml； 另见欧仁妮·布鲁耶与汤姆·穆伦，</w:t>
      </w:r>
      <w:r w:rsidRPr="006924C4">
        <w:rPr>
          <w:rFonts w:cs="Times New Roman"/>
          <w:i/>
          <w:iCs/>
          <w:kern w:val="0"/>
          <w:lang w:bidi="yi-Hebr"/>
        </w:rPr>
        <w:t xml:space="preserve">《英国与加拿大关于联邦主义和权力下放的宪法判例</w:t>
      </w:r>
      <w:r w:rsidRPr="006924C4">
        <w:rPr>
          <w:rFonts w:cs="Times New Roman"/>
          <w:i/>
          <w:iCs/>
          <w:kern w:val="0"/>
          <w:lang w:bidi="yi-Hebr"/>
        </w:rPr>
        <w:t xml:space="preserve">》</w:t>
      </w:r>
      <w:r w:rsidRPr="006924C4">
        <w:rPr>
          <w:rFonts w:cs="Times New Roman"/>
          <w:kern w:val="0"/>
          <w:lang w:bidi="yi-Hebr"/>
        </w:rPr>
        <w:t xml:space="preserve">, </w:t>
      </w:r>
      <w:r w:rsidRPr="006924C4">
        <w:rPr>
          <w:rFonts w:cs="Times New Roman"/>
          <w:smallCaps/>
          <w:kern w:val="0"/>
          <w:lang w:bidi="yi-Hebr"/>
        </w:rPr>
        <w:t xml:space="preserve">《加拿大与英国的宪政政治与领土问题</w:t>
      </w:r>
      <w:r w:rsidRPr="006924C4">
        <w:rPr>
          <w:rFonts w:cs="Times New Roman"/>
          <w:kern w:val="0"/>
          <w:lang w:bidi="yi-Hebr"/>
        </w:rPr>
        <w:t xml:space="preserve">第47页（迈克尔·基廷与盖伊·拉福雷斯特编，2018年）， http://link.springer.com/10.1007/978-3-319-58074-6_3。</w:t>
      </w:r>
      <w:r>
        <w:fldChar w:fldCharType="end"/>
      </w:r>
    </w:p>
  </w:footnote>
  <w:footnote w:id="34">
    <w:p w:rsidR="00962F69" w:rsidRDefault="00962F69" w14:paraId="47ED40DC" w14:textId="6239CB9B">
      <w:pPr>
        <w:pStyle w:val="FootnoteText"/>
      </w:pPr>
      <w:r>
        <w:rPr>
          <w:rStyle w:val="FootnoteReference"/>
        </w:rPr>
        <w:footnoteRef/>
      </w:r>
      <w:r>
        <w:fldChar w:fldCharType="begin"/>
      </w:r>
      <w:r w:rsidR="00C04038">
        <w:instrText xml:space="preserve"> ADDIN ZOTERO_ITEM CSL_CITATION {"citationID":"U6XczJAQ","properties":{"formattedCitation":"Carlo Panara, {\\i{}Subsidiarity v. Autonomy in the EU}, 28 {\\scaps Eur. Public Law} (2022), https://kluwerlawonline.com/api/Product/CitationPDFURL?file=Journals\\\\EURO\\\\EURO2022014.pdf.","plainCitation":"Carlo Panara, Subsidiarity v. Autonomy in the EU, 28 Eur. Public Law (2022), https://kluwerlawonline.com/api/Product/CitationPDFURL?file=Journals\\EURO\\EURO2022014.pdf.","noteIndex":20},"citationItems":[{"id":120,"uris":["http://zotero.org/users/20142566/items/S4ZK9BGS"],"itemData":{"id":120,"type":"article-journal","abstract":"&lt;p&gt;&lt;i&gt;The principle of subsidiarity as construed by the Court of Justice and the Advocates General (AG) is not an autonomy clause. Article 5(3) Treaty on the European Union (TEU) aims to promote the efficiency of governance rather than the autonomy of the Member States (MSs) and of the subnational governments. Although a number of scholars emphasize the potential role of federal proportionality for the protection of the autonomy, the effectiveness of this principle is limited in practice due to the Court’s judicial self-restraint. In the EU the autonomy of national and subnational governments is protected primarily by the legal bases in the Treaty. The reasoning of the Court to delimit these legal bases largely overlaps with and absorbs considerations of subsidiarity that acquire a merely ancillary role.&lt;/i&gt;&lt;br&gt;&lt;/p&gt;","container-title":"European Public Law","ISSN":"1354-3725","issue":"2","language":"en","source":"kluwerlawonline.com","title":"Subsidiarity v. Autonomy in the EU","URL":"https://kluwerlawonline.com/api/Product/CitationPDFURL?file=Journals\\EURO\\EURO2022014.pdf","volume":"28","author":[{"family":"Panara","given":"Carlo"}],"accessed":{"date-parts":[["2026",4,13]]},"issued":{"date-parts":[["2022",5,1]]}}}],"schema":"https://github.com/citation-style-language/schema/raw/master/csl-citation.json"} </w:instrText>
      </w:r>
      <w:r>
        <w:fldChar w:fldCharType="separate"/>
      </w:r>
      <w:r w:rsidRPr="00962F69">
        <w:rPr>
          <w:rFonts w:cs="Times New Roman"/>
          <w:kern w:val="0"/>
          <w:lang w:bidi="yi-Hebr"/>
        </w:rPr>
        <w:t xml:space="preserve"> 卡洛·帕纳拉，</w:t>
      </w:r>
      <w:r w:rsidRPr="00962F69">
        <w:rPr>
          <w:rFonts w:cs="Times New Roman"/>
          <w:i/>
          <w:iCs/>
          <w:kern w:val="0"/>
          <w:lang w:bidi="yi-Hebr"/>
        </w:rPr>
        <w:t xml:space="preserve">《欧盟中的辅助性原则与自治权之争</w:t>
      </w:r>
      <w:r w:rsidRPr="00962F69">
        <w:rPr>
          <w:rFonts w:cs="Times New Roman"/>
          <w:smallCaps/>
          <w:kern w:val="0"/>
          <w:lang w:bidi="yi-Hebr"/>
        </w:rPr>
        <w:t xml:space="preserve">》</w:t>
      </w:r>
      <w:r w:rsidRPr="00962F69">
        <w:rPr>
          <w:rFonts w:cs="Times New Roman"/>
          <w:kern w:val="0"/>
          <w:lang w:bidi="yi-Hebr"/>
        </w:rPr>
        <w:t xml:space="preserve">, 28 </w:t>
      </w:r>
      <w:r w:rsidRPr="00962F69">
        <w:rPr>
          <w:rFonts w:cs="Times New Roman"/>
          <w:kern w:val="0"/>
          <w:lang w:bidi="yi-Hebr"/>
        </w:rPr>
        <w:t xml:space="preserve">（2022年），https://kluwerlawonline.com/api/Product/CitationPDFURL?file=Journals\EURO\EURO2022014.pdf。</w:t>
      </w:r>
      <w:r>
        <w:fldChar w:fldCharType="end"/>
      </w:r>
    </w:p>
  </w:footnote>
  <w:footnote w:id="35">
    <w:p w:rsidR="006D42DC" w:rsidRDefault="006D42DC" w14:paraId="345FD3C9" w14:textId="19014A95">
      <w:pPr>
        <w:pStyle w:val="FootnoteText"/>
      </w:pPr>
      <w:r>
        <w:rPr>
          <w:rStyle w:val="FootnoteReference"/>
        </w:rPr>
        <w:footnoteRef/>
      </w:r>
      <w:r>
        <w:fldChar w:fldCharType="begin"/>
      </w:r>
      <w:r w:rsidR="00C04038">
        <w:instrText xml:space="preserve"> ADDIN ZOTERO_ITEM CSL_CITATION {"citationID":"TsTWs0wm","properties":{"formattedCitation":"Franklin Allen et al., Centralization or Decentralization? The Evolution of State-Ownership in China (Oct. 20, 2024), https://papers.ssrn.com/abstract=4283197.","plainCitation":"Franklin Allen et al., Centralization or Decentralization? The Evolution of State-Ownership in China (Oct. 20, 2024), https://papers.ssrn.com/abstract=4283197.","noteIndex":21},"citationItems":[{"id":119,"uris":["http://zotero.org/users/20142566/items/6FXS9XMN"],"itemData":{"id":119,"type":"article","abstract":"We re-examine the state sector and its role in the Chinese economy through the equity ownership networks of 40 million firms from 1990 to 2017. Our measure uncovers a broader array of state-owned enterprises (SOEs) than the existing measures. State ownership witnesses dual trends: decentralization—the scale of capital from the central government has been declining—and indirect control—a rising number of SOEs with provincial and city government ownership stakes and increasing hierarchical distance between existing and new SOEs from their ultimate state owners. The increase in hierarchical distance and expansion of SOE networks can be explained by the openings of new high-speed rail routes. Firms with minority state ownership stakes and greater hierarchical distance to the central and provincial government owners have better performance as measured by higher profitability and productivity.","DOI":"10.2139/ssrn.4283197","genre":"SSRN Scholarly Paper","language":"en","number":"4283197","publisher":"Social Science Research Network","publisher-place":"Rochester, NY","source":"papers.ssrn.com","title":"Centralization or Decentralization? The Evolution of State-Ownership in China","title-short":"Centralization or Decentralization?","URL":"https://papers.ssrn.com/abstract=4283197","author":[{"family":"Allen","given":"Franklin"},{"family":"Cai","given":"Junhui"},{"family":"Gu","given":"Xian"},{"family":"Qian","given":"Jun \"QJ\""},{"family":"Zhao","given":"Linda"},{"family":"Zhu","given":"Wu"}],"accessed":{"date-parts":[["2026",4,13]]},"issued":{"date-parts":[["2024",10,20]]}}}],"schema":"https://github.com/citation-style-language/schema/raw/master/csl-citation.json"} </w:instrText>
      </w:r>
      <w:r>
        <w:fldChar w:fldCharType="separate"/>
      </w:r>
      <w:r>
        <w:rPr>
          <w:noProof/>
        </w:rPr>
        <w:t xml:space="preserve"> 富兰克林·艾伦等，《集中化还是分散化？中国国有制的发展》（2024年10月20日），https://papers.ssrn.com/abstract=4283197。</w:t>
      </w:r>
      <w:r>
        <w:fldChar w:fldCharType="end"/>
      </w:r>
    </w:p>
  </w:footnote>
  <w:footnote w:id="36">
    <w:p w:rsidRPr="00191DFD" w:rsidR="00191DFD" w:rsidRDefault="00191DFD" w14:paraId="3E1DF8C2" w14:textId="2E6A736B">
      <w:pPr>
        <w:pStyle w:val="FootnoteText"/>
      </w:pPr>
      <w:r>
        <w:rPr>
          <w:rStyle w:val="FootnoteReference"/>
        </w:rPr>
        <w:footnoteRef/>
      </w:r>
      <w:r>
        <w:t xml:space="preserve"> </w:t>
      </w:r>
      <w:r w:rsidR="003038E2">
        <w:t xml:space="preserve">米歇尔·福柯，《福柯效应：治理性研究》中的“治理性”第87-104页（格雷厄姆·伯切尔、科林·戈登和彼得·米勒编，芝加哥大学出版社，1991年）；参见</w:t>
      </w:r>
      <w:r w:rsidRPr="004E3A22" w:rsidR="003038E2">
        <w:rPr>
          <w:smallCaps/>
        </w:rPr>
        <w:t xml:space="preserve">米歇尔·福柯，</w:t>
      </w:r>
      <w:r w:rsidR="003038E2">
        <w:t xml:space="preserve">《</w:t>
      </w:r>
      <w:r w:rsidRPr="004E3A22" w:rsidR="003038E2">
        <w:rPr>
          <w:smallCaps/>
        </w:rPr>
        <w:t xml:space="preserve">生物政治的诞生：1978-1979年法国高等研究院讲座</w:t>
      </w:r>
      <w:r w:rsidR="003038E2">
        <w:t xml:space="preserve">》（皮卡多出版社，2010年）； 参见</w:t>
      </w:r>
      <w:r>
        <w:t xml:space="preserve">劳伦·B·埃德尔曼，《重叠领域与建构的合法性：法律的内生性》，载于《</w:t>
      </w:r>
      <w:r w:rsidRPr="004E3A22">
        <w:rPr>
          <w:smallCaps/>
        </w:rPr>
        <w:t xml:space="preserve">私募股权、公司治理与资本市场监管的动态》</w:t>
      </w:r>
      <w:r>
        <w:t xml:space="preserve">第55-90页（贾斯汀·奥布莱恩编，帝国理工学院出版社，2007年）。 </w:t>
      </w:r>
    </w:p>
  </w:footnote>
  <w:footnote w:id="37">
    <w:p w:rsidR="0087065B" w:rsidRDefault="00000000" w14:paraId="57316C29" w14:textId="77777777">
      <w:pPr>
        <w:pStyle w:val="FootnoteText"/>
      </w:pPr>
      <w:r>
        <w:rPr>
          <w:rStyle w:val="FootnoteReference"/>
        </w:rPr>
        <w:footnoteRef/>
      </w:r>
      <w:r>
        <w:t xml:space="preserve"> 拉里·卡塔·巴克，《第七讲：人工智能叙事与人工智能-人类监管结构的未来》（未发表的课程讲义，宾夕法尼亚州立大学，2026年）（作者存档）。</w:t>
      </w:r>
    </w:p>
  </w:footnote>
  <w:footnote w:id="38">
    <w:p w:rsidR="007B1BD8" w:rsidRDefault="007B1BD8" w14:paraId="7C85CA16" w14:textId="1240A56C">
      <w:pPr>
        <w:pStyle w:val="FootnoteText"/>
      </w:pPr>
      <w:r>
        <w:rPr>
          <w:rStyle w:val="FootnoteReference"/>
        </w:rPr>
        <w:footnoteRef/>
      </w:r>
      <w:r>
        <w:fldChar w:fldCharType="begin"/>
      </w:r>
      <w:r w:rsidR="00C04038">
        <w:instrText xml:space="preserve"> ADDIN ZOTERO_ITEM CSL_CITATION {"citationID":"3EHU2P2T","properties":{"formattedCitation":"Bin Cao et al., {\\i{}Blockchain Systems, Technologies, and Applications: A Methodology Perspective}, 25 {\\scaps IEEE Commun. Surv. Tutor.} 353 (2023).","plainCitation":"Bin Cao et al., Blockchain Systems, Technologies, and Applications: A Methodology Perspective, 25 IEEE Commun. Surv. Tutor. 353 (2023).","noteIndex":22},"citationItems":[{"id":160,"uris":["http://zotero.org/users/20142566/items/M9UIA8R3"],"itemData":{"id":160,"type":"article-journal","container-title":"IEEE Communications Surveys &amp; Tutorials","DOI":"10.1109/COMST.2022.3204702","ISSN":"1553-877X, 2373-745X","issue":"1","journalAbbreviation":"IEEE Commun. Surv. Tutorials","license":"https://ieeexplore.ieee.org/Xplorehelp/downloads/license-information/IEEE.html","page":"353-385","source":"DOI.org (Crossref)","title":"Blockchain Systems, Technologies, and Applications: A Methodology Perspective","title-short":"Blockchain Systems, Technologies, and Applications","volume":"25","author":[{"family":"Cao","given":"Bin"},{"family":"Wang","given":"Zixin"},{"family":"Zhang","given":"Long"},{"family":"Feng","given":"Daquan"},{"family":"Peng","given":"Mugen"},{"family":"Zhang","given":"Lei"},{"family":"Han","given":"Zhu"}],"issued":{"date-parts":[["2023"]]}}}],"schema":"https://github.com/citation-style-language/schema/raw/master/csl-citation.json"} </w:instrText>
      </w:r>
      <w:r>
        <w:fldChar w:fldCharType="separate"/>
      </w:r>
      <w:r>
        <w:rPr>
          <w:rFonts w:cs="Times New Roman"/>
          <w:kern w:val="0"/>
          <w:lang w:bidi="yi-Hebr"/>
        </w:rPr>
        <w:t xml:space="preserve"> </w:t>
      </w:r>
      <w:r>
        <w:t>Bin Cao et al., Blockchain Systems, Technologies, and Applications: A Methodology Perspective</w:t>
      </w:r>
      <w:r w:rsidRPr="007B1BD8">
        <w:rPr>
          <w:rFonts w:cs="Times New Roman"/>
          <w:kern w:val="0"/>
          <w:lang w:bidi="yi-Hebr"/>
        </w:rPr>
        <w:t xml:space="preserve">, 25 </w:t>
      </w:r>
      <w:r>
        <w:t>IEEE Commun. Surv. Tutor.</w:t>
      </w:r>
      <w:r w:rsidRPr="007B1BD8">
        <w:rPr>
          <w:rFonts w:cs="Times New Roman"/>
          <w:kern w:val="0"/>
          <w:lang w:bidi="yi-Hebr"/>
        </w:rPr>
        <w:t xml:space="preserve"> 353 (2023).</w:t>
      </w:r>
      <w:r>
        <w:fldChar w:fldCharType="end"/>
      </w:r>
    </w:p>
  </w:footnote>
  <w:footnote w:id="39">
    <w:p w:rsidR="00111237" w:rsidRDefault="00111237" w14:paraId="031492F9" w14:textId="63E241E1">
      <w:pPr>
        <w:pStyle w:val="FootnoteText"/>
      </w:pPr>
      <w:r>
        <w:rPr>
          <w:rStyle w:val="FootnoteReference"/>
        </w:rPr>
        <w:footnoteRef/>
      </w:r>
      <w:r>
        <w:fldChar w:fldCharType="begin"/>
      </w:r>
      <w:r w:rsidR="00C04038">
        <w:instrText xml:space="preserve"> ADDIN ZOTERO_ITEM CSL_CITATION {"citationID":"jhiqGZqx","properties":{"formattedCitation":"Michael J\\uc0\\u252{}nemann, {\\i{}Can Code Be Law?}, (2021), https://www.twobirds.com/en/insights/2021/germany/can-code-be-law.","plainCitation":"Michael Jünemann, Can Code Be Law?, (2021), https://www.twobirds.com/en/insights/2021/germany/can-code-be-law.","noteIndex":23},"citationItems":[{"id":57,"uris":["http://zotero.org/users/20142566/items/BW8DQJ3N"],"itemData":{"id":57,"type":"webpage","abstract":"Bird &amp; Bird Partner Dr. Michael Jünemann teamed up with the tech-expert Dr. Udo Milkau to address legal challenges of Blockchain-based contracts. A pdf including notes, citations and sources is available for downloads below.","language":"en","title":"Can Code Be Law?","URL":"https://www.twobirds.com/en/insights/2021/germany/can-code-be-law","author":[{"family":"Jünemann","given":"Michael"}],"accessed":{"date-parts":[["2026",4,6]]},"issued":{"date-parts":[["2021"]]}}}],"schema":"https://github.com/citation-style-language/schema/raw/master/csl-citation.json"} </w:instrText>
      </w:r>
      <w:r>
        <w:fldChar w:fldCharType="separate"/>
      </w:r>
      <w:r w:rsidRPr="00111237">
        <w:rPr>
          <w:rFonts w:cs="Times New Roman"/>
          <w:kern w:val="0"/>
          <w:lang w:bidi="yi-Hebr"/>
        </w:rPr>
        <w:t xml:space="preserve"> 迈克尔·尤内曼，</w:t>
      </w:r>
      <w:r w:rsidRPr="00111237">
        <w:rPr>
          <w:rFonts w:cs="Times New Roman"/>
          <w:i/>
          <w:iCs/>
          <w:kern w:val="0"/>
          <w:lang w:bidi="yi-Hebr"/>
        </w:rPr>
        <w:t xml:space="preserve">《代码能成为法律吗？</w:t>
      </w:r>
      <w:r w:rsidRPr="00111237">
        <w:rPr>
          <w:rFonts w:cs="Times New Roman"/>
          <w:kern w:val="0"/>
          <w:lang w:bidi="yi-Hebr"/>
        </w:rPr>
        <w:t xml:space="preserve">》（2021年），https://www.twobirds.com/en/insights/2021/germany/can-code-be-law。</w:t>
      </w:r>
      <w:r>
        <w:fldChar w:fldCharType="end"/>
      </w:r>
    </w:p>
  </w:footnote>
  <w:footnote w:id="40">
    <w:p w:rsidR="004F0020" w:rsidRDefault="004F0020" w14:paraId="2F9010AC" w14:textId="6ADB581D">
      <w:pPr>
        <w:pStyle w:val="FootnoteText"/>
      </w:pPr>
      <w:r>
        <w:rPr>
          <w:rStyle w:val="FootnoteReference"/>
        </w:rPr>
        <w:footnoteRef/>
      </w:r>
      <w:r>
        <w:fldChar w:fldCharType="begin"/>
      </w:r>
      <w:r>
        <w:instrText xml:space="preserve"> ADDIN ZOTERO_ITEM CSL_CITATION {"citationID":"2IiiuD2b","properties":{"formattedCitation":"Nick Szabo, {\\i{}Formalizing and Securing Relationships on Public Networks}, 2 {\\scaps First Monday} (1997), http://journals.uic.edu/ojs/index.php/fm/article/view/548.","plainCitation":"Nick Szabo, Formalizing and Securing Relationships on Public Networks, 2 First Monday (1997), http://journals.uic.edu/ojs/index.php/fm/article/view/548.","noteIndex":24},"citationItems":[{"id":7,"uris":["http://zotero.org/users/20142566/items/LCF52DQI"],"itemData":{"id":7,"type":"article-journal","container-title":"First Monday","DOI":"10.5210/fm.v2i9.548","ISSN":"13960466","issue":"9","language":"en","source":"DOI.org (Crossref)","title":"Formalizing and Securing Relationships on Public Networks","URL":"http://journals.uic.edu/ojs/index.php/fm/article/view/548","volume":"2","author":[{"family":"Szabo","given":"Nick"}],"accessed":{"date-parts":[["2026",4,3]]},"issued":{"date-parts":[["1997",9,1]]}}}],"schema":"https://github.com/citation-style-language/schema/raw/master/csl-citation.json"} </w:instrText>
      </w:r>
      <w:r>
        <w:fldChar w:fldCharType="separate"/>
      </w:r>
      <w:r>
        <w:rPr>
          <w:rFonts w:cs="Times New Roman"/>
          <w:kern w:val="0"/>
        </w:rPr>
        <w:t xml:space="preserve"> </w:t>
      </w:r>
      <w:r>
        <w:t>Nick Szabo, Formalizing and Securing Relationships on Public Networks</w:t>
      </w:r>
      <w:r w:rsidRPr="004F0020">
        <w:rPr>
          <w:rFonts w:cs="Times New Roman"/>
          <w:kern w:val="0"/>
        </w:rPr>
        <w:t xml:space="preserve">, 2 </w:t>
      </w:r>
      <w:r>
        <w:t>First Monday (1997), http://journals.uic.edu/ojs/index.php/fm/article/view/548.</w:t>
      </w:r>
      <w:r>
        <w:fldChar w:fldCharType="end"/>
      </w:r>
    </w:p>
  </w:footnote>
  <w:footnote w:id="41">
    <w:p w:rsidR="00C656DF" w:rsidRDefault="00C656DF" w14:paraId="06913253" w14:textId="52B4789B">
      <w:pPr>
        <w:pStyle w:val="FootnoteText"/>
      </w:pPr>
      <w:r>
        <w:rPr>
          <w:rStyle w:val="FootnoteReference"/>
        </w:rPr>
        <w:footnoteRef/>
      </w:r>
      <w:r>
        <w:fldChar w:fldCharType="begin"/>
      </w:r>
      <w:r w:rsidR="00C04038">
        <w:instrText xml:space="preserve"> ADDIN ZOTERO_ITEM CSL_CITATION {"citationID":"qWLbvZhR","properties":{"formattedCitation":"Hamed Taherdoost, {\\i{}Non-Fungible Tokens (NFT): A Systematic Review}, 14 {\\scaps Information} 26 (2022).","plainCitation":"Hamed Taherdoost, Non-Fungible Tokens (NFT): A Systematic Review, 14 Information 26 (2022).","noteIndex":24},"citationItems":[{"id":159,"uris":["http://zotero.org/users/20142566/items/5X38G8LV"],"itemData":{"id":159,"type":"article-journal","abstract":"Non-fungible tokens (NFTs) are gaining in popularity and are already extensively implemented. New use cases for NFTs are constantly developing. NFTs may prevent counterfeiting since each token carries the owner’s digital signature and is thus unique. For the usage of NFTs to progress in an institutional environment, the potential for using NFTs must be investigated in detail. This discovery prompted a comprehensive examination of NFTs developed between 2012 and 2022. The scope is confined to the journal and the keywords “Blockchain”, “Block-chain”, “Non-fungible Token”, and “NFT” are used. Also excluded are studies based on interviews, articles in the press, non-English articles, reviews, conferences, book chapters, dissertations, and monographs. This evaluation includes 34 papers from the last decade. This research examines the current state and development trends of NFT. In addition, the gaps and difficulties in the related literature have been explored, with an emphasis on the limits. These results highlight many unsolved research questions and potential future research avenues that would likely be beneficial to academics and professionals.","container-title":"Information","DOI":"10.3390/info14010026","ISSN":"2078-2489","issue":"1","journalAbbreviation":"Information","language":"en","page":"26","source":"DOI.org (Crossref)","title":"Non-Fungible Tokens (NFT): A Systematic Review","title-short":"Non-Fungible Tokens (NFT)","volume":"14","author":[{"family":"Taherdoost","given":"Hamed"}],"issued":{"date-parts":[["2022",12,31]]}}}],"schema":"https://github.com/citation-style-language/schema/raw/master/csl-citation.json"} </w:instrText>
      </w:r>
      <w:r>
        <w:fldChar w:fldCharType="separate"/>
      </w:r>
      <w:r>
        <w:rPr>
          <w:rFonts w:cs="Times New Roman"/>
          <w:kern w:val="0"/>
          <w:lang w:bidi="yi-Hebr"/>
        </w:rPr>
        <w:t xml:space="preserve"> </w:t>
      </w:r>
      <w:r>
        <w:t>Hamed Taherdoost, Non-Fungible Tokens (NFT): A Systematic Review</w:t>
      </w:r>
      <w:r>
        <w:rPr>
          <w:rFonts w:cs="Times New Roman"/>
          <w:kern w:val="0"/>
          <w:lang w:bidi="yi-Hebr"/>
        </w:rPr>
        <w:t>, 14</w:t>
      </w:r>
      <w:r>
        <w:t xml:space="preserve"> Information</w:t>
      </w:r>
      <w:r w:rsidRPr="00C656DF">
        <w:rPr>
          <w:rFonts w:cs="Times New Roman"/>
          <w:kern w:val="0"/>
          <w:lang w:bidi="yi-Hebr"/>
        </w:rPr>
        <w:t xml:space="preserve"> 26 (2022).</w:t>
      </w:r>
      <w:r>
        <w:fldChar w:fldCharType="end"/>
      </w:r>
    </w:p>
  </w:footnote>
  <w:footnote w:id="42">
    <w:p w:rsidR="003F6FF0" w:rsidRDefault="003F6FF0" w14:paraId="2F446AE5" w14:textId="4F4D5974">
      <w:pPr>
        <w:pStyle w:val="FootnoteText"/>
      </w:pPr>
      <w:r>
        <w:rPr>
          <w:rStyle w:val="FootnoteReference"/>
        </w:rPr>
        <w:footnoteRef/>
      </w:r>
      <w:r>
        <w:fldChar w:fldCharType="begin"/>
      </w:r>
      <w:r>
        <w:instrText xml:space="preserve"> ADDIN ZOTERO_ITEM CSL_CITATION {"citationID":"BMXP7GZC","properties":{"formattedCitation":"Margot E. Kaminski, {\\i{}Binary Governance: Lessons from the GDPR\\uc0\\u8217{}s Approach to Algorithmic Accountability}, {\\scaps SSRN Electron. J.} (2019), https://www.ssrn.com/abstract=3351404.","plainCitation":"Margot E. Kaminski, Binary Governance: Lessons from the GDPR’s Approach to Algorithmic Accountability, SSRN Electron. J. (2019), https://www.ssrn.com/abstract=3351404.","noteIndex":26},"citationItems":[{"id":16,"uris":["http://zotero.org/users/20142566/items/P9ZP2HLS"],"itemData":{"id":16,"type":"article-journal","container-title":"SSRN Electronic Journal","DOI":"10.2139/ssrn.3351404","ISSN":"1556-5068","journalAbbreviation":"SSRN Journal","language":"en","source":"DOI.org (Crossref)","title":"Binary Governance: Lessons from the GDPR's Approach to Algorithmic Accountability","title-short":"Binary Governance","URL":"https://www.ssrn.com/abstract=3351404","author":[{"family":"Kaminski","given":"Margot E."}],"accessed":{"date-parts":[["2026",4,3]]},"issued":{"date-parts":[["2019"]]}}}],"schema":"https://github.com/citation-style-language/schema/raw/master/csl-citation.json"} </w:instrText>
      </w:r>
      <w:r>
        <w:fldChar w:fldCharType="separate"/>
      </w:r>
      <w:r>
        <w:rPr>
          <w:rFonts w:cs="Times New Roman"/>
          <w:kern w:val="0"/>
        </w:rPr>
        <w:t xml:space="preserve"> </w:t>
      </w:r>
      <w:r>
        <w:t>Margot E. Kaminski, Binary Governance: Lessons from the GDPR’s Approach to Algorithmic Accountability</w:t>
      </w:r>
      <w:r w:rsidRPr="003F6FF0">
        <w:rPr>
          <w:rFonts w:cs="Times New Roman"/>
          <w:kern w:val="0"/>
        </w:rPr>
        <w:t xml:space="preserve">, </w:t>
      </w:r>
      <w:r>
        <w:t>SSRN Electron. J. (2019), https://www.ssrn.com/abstract=3351404.</w:t>
      </w:r>
      <w:r>
        <w:fldChar w:fldCharType="end"/>
      </w:r>
    </w:p>
  </w:footnote>
  <w:footnote w:id="43">
    <w:p w:rsidR="00AB62EA" w:rsidRDefault="00AB62EA" w14:paraId="0D8E4407" w14:textId="193F0C45">
      <w:pPr>
        <w:pStyle w:val="FootnoteText"/>
      </w:pPr>
      <w:r>
        <w:rPr>
          <w:rStyle w:val="FootnoteReference"/>
        </w:rPr>
        <w:footnoteRef/>
      </w:r>
      <w:r>
        <w:fldChar w:fldCharType="begin"/>
      </w:r>
      <w:r w:rsidR="00C04038">
        <w:instrText xml:space="preserve"> ADDIN ZOTERO_ITEM CSL_CITATION {"citationID":"Mn5vYbTV","properties":{"formattedCitation":"Constantine Sedikides, Lowell Gaertner &amp; Erin M. O\\uc0\\u8217{}Mara, {\\i{}Individual Self, Relational Self, Collective Self: Hierarchical Ordering of the Tripartite Self}, 56 {\\scaps Psychol. Stud.} 98 (2011).","plainCitation":"Constantine Sedikides, Lowell Gaertner &amp; Erin M. O’Mara, Individual Self, Relational Self, Collective Self: Hierarchical Ordering of the Tripartite Self, 56 Psychol. Stud. 98 (2011).","noteIndex":25},"citationItems":[{"id":158,"uris":["http://zotero.org/users/20142566/items/2UY8X5XQ"],"itemData":{"id":158,"type":"article-journal","abstract":"The individual self comprise unique attributes, the relational self comprises partner-shared attributes, and the collective self comprises ingroup-shared attributes. All selves are fundamental components of the self-concept, with each being important and meaningful to human experience and with each being associated with health benefits. Are the selves, however, equally important and meaningful? We review a program of research that tested four competing theoretical views suggesting that the motivational hub of human experience is (a) the individual self, (b) the relational self, (b) the collective self, or (c) determined by contextual or cultural factors. The research furnished support to the view that the individual self is the primary form of self-definition. We discuss alternative explanations and implications. We end with the introduction of a theoretical model, the boomerang model, that has the potential to integrate the diverse literature on the topic.","container-title":"Psychological Studies","DOI":"10.1007/s12646-011-0059-0","ISSN":"0974-9861","issue":"1","journalAbbreviation":"Psychol Stud","language":"en","page":"98-107","source":"Springer Link","title":"Individual Self, Relational Self, Collective Self: Hierarchical Ordering of the Tripartite Self","title-short":"Individual Self, Relational Self, Collective Self","volume":"56","author":[{"family":"Sedikides","given":"Constantine"},{"family":"Gaertner","given":"Lowell"},{"family":"O’Mara","given":"Erin M."}],"issued":{"date-parts":[["2011",3,1]]}}}],"schema":"https://github.com/citation-style-language/schema/raw/master/csl-citation.json"} </w:instrText>
      </w:r>
      <w:r>
        <w:fldChar w:fldCharType="separate"/>
      </w:r>
      <w:r>
        <w:rPr>
          <w:rFonts w:cs="Times New Roman"/>
          <w:kern w:val="0"/>
          <w:lang w:bidi="yi-Hebr"/>
        </w:rPr>
        <w:t xml:space="preserve"> </w:t>
      </w:r>
      <w:r>
        <w:t>Constantine Sedikides, Lowell Gaertner &amp; Erin M. O’Mara, Individual Self, Relational Self, Collective Self: Hierarchical Ordering of the Tripartite Self</w:t>
      </w:r>
      <w:r>
        <w:rPr>
          <w:rFonts w:cs="Times New Roman"/>
          <w:kern w:val="0"/>
          <w:lang w:bidi="yi-Hebr"/>
        </w:rPr>
        <w:t>, 56</w:t>
      </w:r>
      <w:r>
        <w:t xml:space="preserve"> Psychol. Stud. </w:t>
      </w:r>
      <w:r>
        <w:rPr>
          <w:rFonts w:cs="Times New Roman"/>
          <w:kern w:val="0"/>
          <w:lang w:bidi="yi-Hebr"/>
        </w:rPr>
        <w:t>98 (2011).</w:t>
      </w:r>
      <w:r>
        <w:fldChar w:fldCharType="end"/>
      </w:r>
    </w:p>
  </w:footnote>
  <w:footnote w:id="44">
    <w:p w:rsidR="004817E5" w:rsidRDefault="00000000" w14:paraId="6D9281C6"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彼得·T·F·拉加特，《对话性自我与“第三性”：基于对话三元组的定位的符号学方法》，20)3)</w:t>
      </w:r>
      <w:r>
        <w:rPr>
          <w:rFonts w:ascii="Times New Roman" w:hAnsi="Times New Roman" w:cs="Times New Roman"/>
        </w:rPr>
        <w:t xml:space="preserve">《</w:t>
      </w:r>
      <w:r>
        <w:rPr>
          <w:rFonts w:ascii="Times New Roman" w:hAnsi="Times New Roman" w:cs="Times New Roman"/>
          <w:smallCaps/>
        </w:rPr>
        <w:t xml:space="preserve">理论与心理学</w:t>
      </w:r>
      <w:r>
        <w:rPr>
          <w:rFonts w:ascii="Times New Roman" w:hAnsi="Times New Roman" w:cs="Times New Roman"/>
        </w:rPr>
        <w:t xml:space="preserve">》（2010）；可参见 [https://doi.org/10.1177/0959354310364878]；约翰·F·索瓦，2000。 “本体论、元数据与符号学”，于2000年8月14日在德国达姆施塔特举行的ICCS 2000会议上发表；收录于B. Ganter与G. W. Mineau编著的《概念结构：逻辑、语言与计算问题》（Lecture Notes in AI #1867，Springer-Verlag，柏林，2000年）， 第55-81页。总体而言，</w:t>
      </w:r>
      <w:r>
        <w:rPr>
          <w:rFonts w:ascii="Times New Roman" w:hAnsi="Times New Roman" w:cs="Times New Roman"/>
          <w:smallCaps/>
        </w:rPr>
        <w:t xml:space="preserve">参见Jan </w:t>
      </w:r>
      <w:r>
        <w:rPr>
          <w:rFonts w:ascii="Times New Roman" w:hAnsi="Times New Roman" w:cs="Times New Roman"/>
        </w:rPr>
        <w:t xml:space="preserve">M. </w:t>
      </w:r>
      <w:r>
        <w:rPr>
          <w:rFonts w:ascii="Times New Roman" w:hAnsi="Times New Roman" w:cs="Times New Roman"/>
          <w:smallCaps/>
        </w:rPr>
        <w:t xml:space="preserve">Broekman</w:t>
      </w:r>
      <w:r>
        <w:rPr>
          <w:rFonts w:ascii="Times New Roman" w:hAnsi="Times New Roman" w:cs="Times New Roman"/>
        </w:rPr>
        <w:t xml:space="preserve">，《</w:t>
      </w:r>
      <w:r>
        <w:rPr>
          <w:rFonts w:ascii="Times New Roman" w:hAnsi="Times New Roman" w:cs="Times New Roman"/>
          <w:smallCaps/>
        </w:rPr>
        <w:t xml:space="preserve">意义</w:t>
      </w:r>
      <w:r>
        <w:rPr>
          <w:rFonts w:ascii="Times New Roman" w:hAnsi="Times New Roman" w:cs="Times New Roman"/>
        </w:rPr>
        <w:t xml:space="preserve">、</w:t>
      </w:r>
      <w:r>
        <w:rPr>
          <w:rFonts w:ascii="Times New Roman" w:hAnsi="Times New Roman" w:cs="Times New Roman"/>
          <w:smallCaps/>
        </w:rPr>
        <w:t xml:space="preserve">叙事性与</w:t>
      </w:r>
      <w:r>
        <w:rPr>
          <w:rFonts w:ascii="Times New Roman" w:hAnsi="Times New Roman" w:cs="Times New Roman"/>
          <w:smallCaps/>
        </w:rPr>
        <w:t xml:space="preserve">现实</w:t>
      </w:r>
      <w:r>
        <w:rPr>
          <w:rFonts w:ascii="Times New Roman" w:hAnsi="Times New Roman" w:cs="Times New Roman"/>
        </w:rPr>
        <w:t xml:space="preserve">：</w:t>
      </w:r>
      <w:r>
        <w:rPr>
          <w:rFonts w:ascii="Times New Roman" w:hAnsi="Times New Roman" w:cs="Times New Roman"/>
          <w:smallCaps/>
        </w:rPr>
        <w:t xml:space="preserve">法律</w:t>
      </w:r>
      <w:r>
        <w:rPr>
          <w:rFonts w:ascii="Times New Roman" w:hAnsi="Times New Roman" w:cs="Times New Roman"/>
          <w:smallCaps/>
        </w:rPr>
        <w:t xml:space="preserve">教育</w:t>
      </w:r>
      <w:r>
        <w:rPr>
          <w:rFonts w:ascii="Times New Roman" w:hAnsi="Times New Roman" w:cs="Times New Roman"/>
          <w:smallCaps/>
        </w:rPr>
        <w:t xml:space="preserve">中的法律</w:t>
      </w:r>
      <w:r>
        <w:rPr>
          <w:rFonts w:ascii="Times New Roman" w:hAnsi="Times New Roman" w:cs="Times New Roman"/>
          <w:smallCaps/>
        </w:rPr>
        <w:t xml:space="preserve">符号学</w:t>
      </w:r>
      <w:r>
        <w:rPr>
          <w:rFonts w:ascii="Times New Roman" w:hAnsi="Times New Roman" w:cs="Times New Roman"/>
          <w:smallCaps/>
        </w:rPr>
        <w:t xml:space="preserve">》</w:t>
      </w:r>
      <w:r>
        <w:rPr>
          <w:rFonts w:ascii="Times New Roman" w:hAnsi="Times New Roman" w:cs="Times New Roman"/>
        </w:rPr>
        <w:t xml:space="preserve">第四卷（Springer，2016年）。</w:t>
      </w:r>
    </w:p>
  </w:footnote>
  <w:footnote w:id="45">
    <w:p w:rsidR="004817E5" w:rsidRDefault="00000000" w14:paraId="288973EE"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关于其符号学，参见戈兰·索内松，《分支的自然史：第一性、第二性与第三性现象学的研究方法》，《符号与社会》第1卷第2期，第297-325页（2025年）；doi:10.1086/673251。</w:t>
      </w:r>
    </w:p>
  </w:footnote>
  <w:footnote w:id="46">
    <w:p w:rsidR="004817E5" w:rsidRDefault="00000000" w14:paraId="3C3133A0"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mallCaps/>
        </w:rPr>
        <w:t xml:space="preserve">普里马维拉</w:t>
      </w:r>
      <w:r>
        <w:rPr>
          <w:rFonts w:ascii="Times New Roman" w:hAnsi="Times New Roman" w:cs="Times New Roman"/>
          <w:smallCaps/>
        </w:rPr>
        <w:t xml:space="preserve">·德</w:t>
      </w:r>
      <w:r>
        <w:rPr>
          <w:rFonts w:ascii="Times New Roman" w:hAnsi="Times New Roman" w:cs="Times New Roman"/>
          <w:smallCaps/>
        </w:rPr>
        <w:t xml:space="preserve">·菲利皮</w:t>
      </w:r>
      <w:r>
        <w:rPr>
          <w:rFonts w:ascii="Times New Roman" w:hAnsi="Times New Roman" w:cs="Times New Roman"/>
          <w:smallCaps/>
        </w:rPr>
        <w:t xml:space="preserve">与</w:t>
      </w:r>
      <w:r>
        <w:rPr>
          <w:rFonts w:ascii="Times New Roman" w:hAnsi="Times New Roman" w:cs="Times New Roman"/>
          <w:smallCaps/>
        </w:rPr>
        <w:t xml:space="preserve">亚伦</w:t>
      </w:r>
      <w:r>
        <w:rPr>
          <w:rFonts w:ascii="Times New Roman" w:hAnsi="Times New Roman" w:cs="Times New Roman"/>
        </w:rPr>
        <w:t xml:space="preserve">·赖特，</w:t>
      </w:r>
      <w:r>
        <w:rPr>
          <w:rFonts w:ascii="Times New Roman" w:hAnsi="Times New Roman" w:cs="Times New Roman"/>
        </w:rPr>
        <w:t xml:space="preserve">《</w:t>
      </w:r>
      <w:r>
        <w:rPr>
          <w:rFonts w:ascii="Times New Roman" w:hAnsi="Times New Roman" w:cs="Times New Roman"/>
          <w:smallCaps/>
        </w:rPr>
        <w:t xml:space="preserve">区块链与</w:t>
      </w:r>
      <w:r>
        <w:rPr>
          <w:rFonts w:ascii="Times New Roman" w:hAnsi="Times New Roman" w:cs="Times New Roman"/>
          <w:smallCaps/>
        </w:rPr>
        <w:t xml:space="preserve">法律</w:t>
      </w:r>
      <w:r>
        <w:rPr>
          <w:rFonts w:ascii="Times New Roman" w:hAnsi="Times New Roman" w:cs="Times New Roman"/>
        </w:rPr>
        <w:t xml:space="preserve">：</w:t>
      </w:r>
      <w:r>
        <w:rPr>
          <w:rFonts w:ascii="Times New Roman" w:hAnsi="Times New Roman" w:cs="Times New Roman"/>
          <w:smallCaps/>
        </w:rPr>
        <w:t xml:space="preserve">代码</w:t>
      </w:r>
      <w:r>
        <w:rPr>
          <w:rFonts w:ascii="Times New Roman" w:hAnsi="Times New Roman" w:cs="Times New Roman"/>
          <w:smallCaps/>
        </w:rPr>
        <w:t xml:space="preserve">的统治</w:t>
      </w:r>
      <w:r>
        <w:rPr>
          <w:rFonts w:ascii="Times New Roman" w:hAnsi="Times New Roman" w:cs="Times New Roman"/>
        </w:rPr>
        <w:t xml:space="preserve">》（哈佛大学出版社，2018年）（“基于区块链的应用程序并不依赖[官僚体系和制度性监管机制的规则]来构建其功能；相反，它们依赖</w:t>
      </w:r>
      <w:r>
        <w:rPr>
          <w:rFonts w:ascii="Times New Roman" w:hAnsi="Times New Roman" w:cs="Times New Roman"/>
        </w:rPr>
        <w:t xml:space="preserve">‘加密法</w:t>
      </w:r>
      <w:r>
        <w:rPr>
          <w:rFonts w:ascii="Times New Roman" w:hAnsi="Times New Roman" w:cs="Times New Roman"/>
        </w:rPr>
        <w:t xml:space="preserve">’来组织经济和社会活动”）。</w:t>
      </w:r>
    </w:p>
  </w:footnote>
  <w:footnote w:id="47">
    <w:p w:rsidR="004817E5" w:rsidRDefault="00000000" w14:paraId="46964383"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t>Aaron Wright &amp; Primavera De Filippi, Decentralized Blockchain Technology and the Rise of Lex Cryptographia (2015, last rev. 25 July 2017); 可参见</w:t>
      </w:r>
      <w:r>
        <w:rPr>
          <w:rFonts w:ascii="Times New Roman" w:hAnsi="Times New Roman" w:cs="Times New Roman"/>
        </w:rPr>
        <w:t xml:space="preserve"> [https://papers.ssrn.com/sol3/papers.cfm?abstract_id=2580664]（“目前，这些组织仍由人类运营。</w:t>
      </w:r>
      <w:r>
        <w:rPr>
          <w:rFonts w:ascii="Times New Roman" w:hAnsi="Times New Roman" w:cs="Times New Roman"/>
        </w:rPr>
        <w:t>然而，这种情况可能很快就会改变，因为由人类运营的功能将逐渐被运行在区块链上的软件所取代。</w:t>
      </w:r>
      <w:r>
        <w:t>”</w:t>
      </w:r>
      <w:r>
        <w:rPr>
          <w:rFonts w:ascii="Times New Roman" w:hAnsi="Times New Roman" w:cs="Times New Roman"/>
        </w:rPr>
        <w:t>）</w:t>
      </w:r>
    </w:p>
  </w:footnote>
  <w:footnote w:id="48">
    <w:p w:rsidR="004817E5" w:rsidRDefault="00000000" w14:paraId="0DA8CFE2"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参见</w:t>
      </w:r>
      <w:r>
        <w:rPr>
          <w:rFonts w:ascii="Times New Roman" w:hAnsi="Times New Roman" w:cs="Times New Roman"/>
        </w:rPr>
        <w:t xml:space="preserve">尼古拉·塔普斯</w:t>
      </w:r>
      <w:r>
        <w:rPr>
          <w:rFonts w:ascii="Times New Roman" w:hAnsi="Times New Roman" w:cs="Times New Roman"/>
        </w:rPr>
        <w:t xml:space="preserve">（Nicolae </w:t>
      </w:r>
      <w:r>
        <w:rPr>
          <w:rFonts w:ascii="Times New Roman" w:hAnsi="Times New Roman" w:cs="Times New Roman"/>
        </w:rPr>
        <w:t xml:space="preserve">Tapus</w:t>
      </w:r>
      <w:r>
        <w:rPr>
          <w:rFonts w:ascii="Times New Roman" w:hAnsi="Times New Roman" w:cs="Times New Roman"/>
        </w:rPr>
        <w:t xml:space="preserve">）和曼努埃尔·阿德林·马诺拉切（Manuel Adelin Manolache），</w:t>
      </w:r>
      <w:r>
        <w:rPr>
          <w:rFonts w:ascii="Times New Roman" w:hAnsi="Times New Roman" w:cs="Times New Roman"/>
          <w:i/>
          <w:iCs/>
        </w:rPr>
        <w:t xml:space="preserve">《利用区块链进行综合决策</w:t>
      </w:r>
      <w:r>
        <w:rPr>
          <w:rFonts w:ascii="Times New Roman" w:hAnsi="Times New Roman" w:cs="Times New Roman"/>
        </w:rPr>
        <w:t xml:space="preserve">》，</w:t>
      </w:r>
      <w:r>
        <w:rPr>
          <w:rFonts w:ascii="Times New Roman" w:hAnsi="Times New Roman" w:cs="Times New Roman"/>
          <w:smallCaps/>
        </w:rPr>
        <w:t xml:space="preserve">《Procedia </w:t>
      </w:r>
      <w:r>
        <w:rPr>
          <w:rFonts w:ascii="Times New Roman" w:hAnsi="Times New Roman" w:cs="Times New Roman"/>
          <w:smallCaps/>
        </w:rPr>
        <w:t xml:space="preserve">Computer </w:t>
      </w:r>
      <w:r>
        <w:rPr>
          <w:rFonts w:ascii="Times New Roman" w:hAnsi="Times New Roman" w:cs="Times New Roman"/>
          <w:smallCaps/>
        </w:rPr>
        <w:t xml:space="preserve">Science</w:t>
      </w:r>
      <w:r>
        <w:rPr>
          <w:rFonts w:ascii="Times New Roman" w:hAnsi="Times New Roman" w:cs="Times New Roman"/>
        </w:rPr>
        <w:t xml:space="preserve">》第162卷</w:t>
      </w:r>
      <w:r>
        <w:rPr>
          <w:rFonts w:ascii="Times New Roman" w:hAnsi="Times New Roman" w:cs="Times New Roman"/>
        </w:rPr>
        <w:t xml:space="preserve">，第587-595页（2019年）。总体而言，参见安娜·哈金斯（Anna Huggins），</w:t>
      </w:r>
      <w:r>
        <w:rPr>
          <w:rFonts w:ascii="Times New Roman" w:hAnsi="Times New Roman" w:cs="Times New Roman"/>
          <w:i/>
          <w:iCs/>
        </w:rPr>
        <w:t xml:space="preserve">《解决脱节问题：自动化决策、行政法与监管改革</w:t>
      </w:r>
      <w:r>
        <w:rPr>
          <w:rFonts w:ascii="Times New Roman" w:hAnsi="Times New Roman" w:cs="Times New Roman"/>
        </w:rPr>
        <w:t xml:space="preserve">》，第44卷(3)</w:t>
      </w:r>
      <w:r>
        <w:rPr>
          <w:rFonts w:ascii="Times New Roman" w:hAnsi="Times New Roman" w:cs="Times New Roman"/>
          <w:smallCaps/>
        </w:rPr>
        <w:t xml:space="preserve">《</w:t>
      </w:r>
      <w:r>
        <w:rPr>
          <w:rFonts w:ascii="Times New Roman" w:hAnsi="Times New Roman" w:cs="Times New Roman"/>
          <w:smallCaps/>
        </w:rPr>
        <w:t xml:space="preserve">新南威尔士大学</w:t>
      </w:r>
      <w:r>
        <w:rPr>
          <w:rFonts w:ascii="Times New Roman" w:hAnsi="Times New Roman" w:cs="Times New Roman"/>
          <w:smallCaps/>
        </w:rPr>
        <w:t xml:space="preserve">法律</w:t>
      </w:r>
      <w:r>
        <w:rPr>
          <w:rFonts w:ascii="Times New Roman" w:hAnsi="Times New Roman" w:cs="Times New Roman"/>
          <w:smallCaps/>
        </w:rPr>
        <w:t xml:space="preserve">杂志</w:t>
      </w:r>
      <w:r>
        <w:rPr>
          <w:rFonts w:ascii="Times New Roman" w:hAnsi="Times New Roman" w:cs="Times New Roman"/>
          <w:smallCaps/>
        </w:rPr>
        <w:t xml:space="preserve">》</w:t>
      </w:r>
      <w:r>
        <w:rPr>
          <w:rFonts w:ascii="Times New Roman" w:hAnsi="Times New Roman" w:cs="Times New Roman"/>
        </w:rPr>
        <w:t xml:space="preserve">第1048-1077页（2021年）；鲁本·宾斯（Reuben Binns），</w:t>
      </w:r>
      <w:r>
        <w:rPr>
          <w:rFonts w:ascii="Times New Roman" w:hAnsi="Times New Roman" w:cs="Times New Roman"/>
          <w:i/>
          <w:iCs/>
        </w:rPr>
        <w:t xml:space="preserve">《算法循环中的人类判断：个体正义与自动化决策</w:t>
      </w:r>
      <w:r>
        <w:rPr>
          <w:rFonts w:ascii="Times New Roman" w:hAnsi="Times New Roman" w:cs="Times New Roman"/>
        </w:rPr>
        <w:t xml:space="preserve">》，载</w:t>
      </w:r>
      <w:r>
        <w:rPr>
          <w:rFonts w:ascii="Times New Roman" w:hAnsi="Times New Roman" w:cs="Times New Roman"/>
          <w:smallCaps/>
        </w:rPr>
        <w:t xml:space="preserve">《监管</w:t>
      </w:r>
      <w:r>
        <w:rPr>
          <w:rFonts w:ascii="Times New Roman" w:hAnsi="Times New Roman" w:cs="Times New Roman"/>
          <w:smallCaps/>
        </w:rPr>
        <w:t xml:space="preserve">与治理</w:t>
      </w:r>
      <w:r>
        <w:rPr>
          <w:rFonts w:ascii="Times New Roman" w:hAnsi="Times New Roman" w:cs="Times New Roman"/>
        </w:rPr>
        <w:t xml:space="preserve">》第16卷第1期</w:t>
      </w:r>
      <w:r>
        <w:rPr>
          <w:rFonts w:ascii="Times New Roman" w:hAnsi="Times New Roman" w:cs="Times New Roman"/>
          <w:smallCaps/>
        </w:rPr>
        <w:t xml:space="preserve">，</w:t>
      </w:r>
      <w:r>
        <w:rPr>
          <w:rFonts w:ascii="Times New Roman" w:hAnsi="Times New Roman" w:cs="Times New Roman"/>
        </w:rPr>
        <w:t xml:space="preserve">第197-211页（2022年）； 大卫·S·菲利皮、比尔·汤姆林森与安德鲁·W·托伦斯，《法律与作为“顶端协作者”的人工智能：优化合作的法律框架》，《佛罗里达国际大学法律评论》第20卷第887页（2026年），https://doi.org/10.25148/lawrev.20.3.7。</w:t>
      </w:r>
    </w:p>
  </w:footnote>
  <w:footnote w:id="49">
    <w:p w:rsidR="004817E5" w:rsidRDefault="00000000" w14:paraId="203BDC08"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 xml:space="preserve">韦塞尔·雷耶斯</w:t>
      </w:r>
      <w:r>
        <w:rPr>
          <w:rFonts w:ascii="Times New Roman" w:hAnsi="Times New Roman" w:cs="Times New Roman"/>
        </w:rPr>
        <w:t xml:space="preserve">、</w:t>
      </w:r>
      <w:r>
        <w:rPr>
          <w:rFonts w:ascii="Times New Roman" w:hAnsi="Times New Roman" w:cs="Times New Roman"/>
        </w:rPr>
        <w:t xml:space="preserve">艾里斯·维斯曼</w:t>
      </w:r>
      <w:r>
        <w:rPr>
          <w:rFonts w:ascii="Times New Roman" w:hAnsi="Times New Roman" w:cs="Times New Roman"/>
        </w:rPr>
        <w:t xml:space="preserve">、莫尔谢德·曼南、普里马维拉·德·菲利皮、克里斯托弗·雷、维也纳·雷-卢伊、安吉拉·库比略斯·贝莱斯及利亚夫·奥加德，</w:t>
      </w:r>
      <w:r>
        <w:rPr>
          <w:rFonts w:ascii="Times New Roman" w:hAnsi="Times New Roman" w:cs="Times New Roman"/>
          <w:i/>
          <w:iCs/>
        </w:rPr>
        <w:t xml:space="preserve">《如今代码自主运行：区块链技术的链上与链下治理》，</w:t>
      </w:r>
      <w:r>
        <w:rPr>
          <w:rFonts w:ascii="Times New Roman" w:hAnsi="Times New Roman" w:cs="Times New Roman"/>
          <w:smallCaps/>
        </w:rPr>
        <w:t xml:space="preserve">《Topoi》</w:t>
      </w:r>
      <w:r>
        <w:rPr>
          <w:rFonts w:ascii="Times New Roman" w:hAnsi="Times New Roman" w:cs="Times New Roman"/>
        </w:rPr>
        <w:t xml:space="preserve">第</w:t>
      </w:r>
      <w:r>
        <w:rPr>
          <w:rFonts w:ascii="Times New Roman" w:hAnsi="Times New Roman" w:cs="Times New Roman"/>
        </w:rPr>
        <w:t xml:space="preserve">40</w:t>
      </w:r>
      <w:r>
        <w:rPr>
          <w:rFonts w:ascii="Times New Roman" w:hAnsi="Times New Roman" w:cs="Times New Roman"/>
        </w:rPr>
        <w:t xml:space="preserve">卷，第821-831页（2021年）。</w:t>
      </w:r>
    </w:p>
  </w:footnote>
  <w:footnote w:id="50">
    <w:p w:rsidR="004817E5" w:rsidRDefault="00000000" w14:paraId="3374EAF6"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这一概念在学术文献中早已存在。参见，例如，彼得·瑙尔，</w:t>
      </w:r>
      <w:r>
        <w:rPr>
          <w:rFonts w:ascii="Times New Roman" w:hAnsi="Times New Roman" w:cs="Times New Roman"/>
          <w:i/>
          <w:iCs/>
        </w:rPr>
        <w:t xml:space="preserve">《编程即理论构建</w:t>
      </w:r>
      <w:r>
        <w:rPr>
          <w:rFonts w:ascii="Times New Roman" w:hAnsi="Times New Roman" w:cs="Times New Roman"/>
        </w:rPr>
        <w:t xml:space="preserve">》，《</w:t>
      </w:r>
      <w:r>
        <w:rPr>
          <w:rFonts w:ascii="Times New Roman" w:hAnsi="Times New Roman" w:cs="Times New Roman"/>
          <w:smallCaps/>
        </w:rPr>
        <w:t xml:space="preserve">微处理</w:t>
      </w:r>
      <w:r>
        <w:rPr>
          <w:rFonts w:ascii="Times New Roman" w:hAnsi="Times New Roman" w:cs="Times New Roman"/>
          <w:smallCaps/>
        </w:rPr>
        <w:t xml:space="preserve">与</w:t>
      </w:r>
      <w:r>
        <w:rPr>
          <w:rFonts w:ascii="Times New Roman" w:hAnsi="Times New Roman" w:cs="Times New Roman"/>
          <w:smallCaps/>
        </w:rPr>
        <w:t xml:space="preserve">微编程</w:t>
      </w:r>
      <w:r>
        <w:rPr>
          <w:rFonts w:ascii="Times New Roman" w:hAnsi="Times New Roman" w:cs="Times New Roman"/>
        </w:rPr>
        <w:t xml:space="preserve">》第15卷第5期</w:t>
      </w:r>
      <w:r>
        <w:rPr>
          <w:rFonts w:ascii="Times New Roman" w:hAnsi="Times New Roman" w:cs="Times New Roman"/>
        </w:rPr>
        <w:t xml:space="preserve">，第253-261页（1985年）（编码的目的不是编程，而是生成可执行的系统理论，这些理论旨在产生迭代一致的结果）。</w:t>
      </w:r>
    </w:p>
  </w:footnote>
  <w:footnote w:id="51">
    <w:p w:rsidR="00277770" w:rsidRDefault="00277770" w14:paraId="187348D9" w14:textId="60D49EFD">
      <w:pPr>
        <w:pStyle w:val="FootnoteText"/>
      </w:pPr>
      <w:r>
        <w:rPr>
          <w:rStyle w:val="FootnoteReference"/>
        </w:rPr>
        <w:footnoteRef/>
      </w:r>
      <w:r>
        <w:fldChar w:fldCharType="begin"/>
      </w:r>
      <w:r w:rsidR="003F6FF0">
        <w:instrText xml:space="preserve"> ADDIN ZOTERO_ITEM CSL_CITATION {"citationID":"ZszZ7A1U","properties":{"formattedCitation":"{\\scaps Primavera De Filippi &amp; Aaron Wright}, {\\scaps Blockchain and the Law: The Rule of Code} (2018).","plainCitation":"Primavera De Filippi &amp; Aaron Wright, Blockchain and the Law: The Rule of Code (2018).","noteIndex":28},"citationItems":[{"id":24,"uris":["http://zotero.org/users/20142566/items/Y8WDYCHT"],"itemData":{"id":24,"type":"book","abstract":"Blockchain technology enables the creation of decentralized currencies, decentralized applications powered by smart contracts, self-executing digital agreements, and intelligent assets that can be controlled over the Internet. Blockchains also enable the development of new governance systems with more democratic or participatory decision-making, and decentralized (autonomous) organizations that can operate over a network of computers without any human intervention. These applications have led many to compare the blockchain to the Internet, with accompanying predictions that this technology will shift the balance of power away from centralized authorities in the field of communications, business, and even politics or law. Blockchain and the Law explores the benefits and drawbacks of this emerging decentralized technology and argues that its widespread deployment will lead to expansion of what we term lex cryptographia: rules administered through self-executing smart contracts.--","call-number":"QA76.9.D32 D44 2018","ISBN":"978-0-674-97642-9","language":"en","number-of-pages":"300","publisher":"Harvard University Press","publisher-place":"Cambridge, Massachusetts","source":"Library of Congress ISBN","title":"Blockchain and the Law: The Rule of Code","title-short":"Blockchain and the law","author":[{"family":"De Filippi","given":"Primavera"},{"family":"Wright","given":"Aaron"}],"issued":{"date-parts":[["2018"]]}}}],"schema":"https://github.com/citation-style-language/schema/raw/master/csl-citation.json"} </w:instrText>
      </w:r>
      <w:r>
        <w:fldChar w:fldCharType="separate"/>
      </w:r>
      <w:r w:rsidRPr="00277770">
        <w:rPr>
          <w:rFonts w:cs="Times New Roman"/>
          <w:smallCaps/>
          <w:kern w:val="0"/>
          <w:lang w:bidi="yi-Hebr"/>
        </w:rPr>
        <w:t xml:space="preserve"> 普里马维拉·德·菲利皮与亚伦·赖特</w:t>
      </w:r>
      <w:r w:rsidRPr="00277770">
        <w:rPr>
          <w:rFonts w:cs="Times New Roman"/>
          <w:kern w:val="0"/>
          <w:lang w:bidi="yi-Hebr"/>
        </w:rPr>
        <w:t xml:space="preserve">, </w:t>
      </w:r>
      <w:r w:rsidRPr="00277770">
        <w:rPr>
          <w:rFonts w:cs="Times New Roman"/>
          <w:smallCaps/>
          <w:kern w:val="0"/>
          <w:lang w:bidi="yi-Hebr"/>
        </w:rPr>
        <w:t xml:space="preserve"> 《区块链与法律：代码的统治》</w:t>
      </w:r>
      <w:r w:rsidRPr="00277770">
        <w:rPr>
          <w:rFonts w:cs="Times New Roman"/>
          <w:kern w:val="0"/>
          <w:lang w:bidi="yi-Hebr"/>
        </w:rPr>
        <w:t xml:space="preserve"> (2018).</w:t>
      </w:r>
      <w:r>
        <w:fldChar w:fldCharType="end"/>
      </w:r>
    </w:p>
  </w:footnote>
  <w:footnote w:id="52">
    <w:p w:rsidRPr="004E3A22" w:rsidR="00033443" w:rsidRDefault="00033443" w14:paraId="6147E7D0" w14:textId="049F2FF5">
      <w:pPr>
        <w:pStyle w:val="FootnoteText"/>
        <w:rPr>
          <w:rFonts w:ascii="Cambria" w:hAnsi="Cambria"/>
        </w:rPr>
      </w:pPr>
      <w:r>
        <w:rPr>
          <w:rStyle w:val="FootnoteReference"/>
        </w:rPr>
        <w:footnoteRef/>
      </w:r>
      <w:r>
        <w:t xml:space="preserve"> 参见大卫·努南和朱莉·崔（合编）所著《</w:t>
      </w:r>
      <w:r w:rsidRPr="004E3A22">
        <w:rPr>
          <w:smallCaps/>
        </w:rPr>
        <w:t xml:space="preserve">语言与文化：反思性叙事与身份的形成</w:t>
      </w:r>
      <w:r w:rsidRPr="004E3A22">
        <w:t xml:space="preserve">》（劳特利奇出版社，2010年）</w:t>
      </w:r>
      <w:r w:rsidR="00D77B91">
        <w:t xml:space="preserve">中的</w:t>
      </w:r>
      <w:r>
        <w:t xml:space="preserve">相关论文</w:t>
      </w:r>
      <w:r w:rsidR="00D77B91">
        <w:t xml:space="preserve">；以及克拉丽莎·吕格和玛丽安·沃尔夫·伦德霍尔特（合编）所著</w:t>
      </w:r>
      <w:r w:rsidRPr="004E3A22" w:rsidR="00D77B91">
        <w:rPr>
          <w:smallCaps/>
        </w:rPr>
        <w:t xml:space="preserve">《劳特利奇反叙事手册</w:t>
      </w:r>
      <w:r w:rsidR="00D77B91">
        <w:t xml:space="preserve">》（劳特利奇出版社，2021年）</w:t>
      </w:r>
      <w:r w:rsidR="00D77B91">
        <w:t xml:space="preserve">中的相关论文</w:t>
      </w:r>
      <w:r w:rsidRPr="004E3A22">
        <w:t xml:space="preserve">。 </w:t>
      </w:r>
      <w:r w:rsidRPr="004E3A22">
        <w:rPr>
          <w:rFonts w:ascii="Cambria" w:hAnsi="Cambria"/>
        </w:rPr>
        <w:t xml:space="preserve"> </w:t>
      </w:r>
    </w:p>
  </w:footnote>
  <w:footnote w:id="53">
    <w:p w:rsidRPr="00033443" w:rsidR="00033443" w:rsidRDefault="00033443" w14:paraId="507B388C" w14:textId="3BBE3272">
      <w:pPr>
        <w:pStyle w:val="FootnoteText"/>
      </w:pPr>
      <w:r>
        <w:rPr>
          <w:rStyle w:val="FootnoteReference"/>
        </w:rPr>
        <w:footnoteRef/>
      </w:r>
      <w:r>
        <w:t xml:space="preserve"> </w:t>
      </w:r>
      <w:r w:rsidRPr="004E3A22" w:rsidR="00D77B91">
        <w:rPr>
          <w:smallCaps/>
        </w:rPr>
        <w:t xml:space="preserve">参见詹姆斯·埃尔金斯（James Elkins）所著</w:t>
      </w:r>
      <w:r w:rsidR="00D77B91">
        <w:t xml:space="preserve">《</w:t>
      </w:r>
      <w:r w:rsidRPr="004E3A22" w:rsidR="00D77B91">
        <w:rPr>
          <w:smallCaps/>
        </w:rPr>
        <w:t xml:space="preserve">主导叙事及其不满</w:t>
      </w:r>
      <w:r w:rsidR="00D77B91">
        <w:t xml:space="preserve">》（Routledge，2005年）</w:t>
      </w:r>
      <w:r w:rsidR="00063A01">
        <w:t xml:space="preserve">；蒂莫西·库姆（Timothy Kuhm）所撰《</w:t>
      </w:r>
      <w:r w:rsidRPr="004E3A22" w:rsidR="00063A01">
        <w:rPr>
          <w:i/>
          <w:iCs/>
        </w:rPr>
        <w:t xml:space="preserve">通过反叙事在沟通中构建组织演进</w:t>
      </w:r>
      <w:r w:rsidR="00063A01">
        <w:t xml:space="preserve">》，载于</w:t>
      </w:r>
      <w:r w:rsidRPr="004E3A22" w:rsidR="00063A01">
        <w:rPr>
          <w:smallCaps/>
        </w:rPr>
        <w:t xml:space="preserve">《反叙事与组织》</w:t>
      </w:r>
      <w:r w:rsidR="00063A01">
        <w:t xml:space="preserve">第17-42页（苏安·弗兰德森、蒂莫西·库姆和玛丽安·沃尔夫·伦德霍尔特合编，Routledge，2017年）</w:t>
      </w:r>
      <w:r w:rsidR="00D77B91">
        <w:t xml:space="preserve">。</w:t>
      </w:r>
    </w:p>
  </w:footnote>
  <w:footnote w:id="54">
    <w:p w:rsidRPr="00033443" w:rsidR="00033443" w:rsidRDefault="00033443" w14:paraId="4311953D" w14:textId="058A094C">
      <w:pPr>
        <w:pStyle w:val="FootnoteText"/>
      </w:pPr>
      <w:r>
        <w:rPr>
          <w:rStyle w:val="FootnoteReference"/>
        </w:rPr>
        <w:footnoteRef/>
      </w:r>
      <w:r>
        <w:t xml:space="preserve"> </w:t>
      </w:r>
      <w:r>
        <w:rPr>
          <w:rFonts w:ascii="Times New Roman" w:hAnsi="Times New Roman" w:cs="Times New Roman"/>
        </w:rPr>
        <w:t xml:space="preserve">参见克</w:t>
      </w:r>
      <w:r>
        <w:rPr>
          <w:rFonts w:ascii="Times New Roman" w:hAnsi="Times New Roman" w:cs="Times New Roman"/>
        </w:rPr>
        <w:t xml:space="preserve">劳斯·贝斯巴特</w:t>
      </w:r>
      <w:r>
        <w:rPr>
          <w:rFonts w:ascii="Times New Roman" w:hAnsi="Times New Roman" w:cs="Times New Roman"/>
          <w:i/>
          <w:iCs/>
        </w:rPr>
        <w:t xml:space="preserve">，《机器学习在哪些方面是不透明的？》，</w:t>
      </w:r>
      <w:r>
        <w:rPr>
          <w:rFonts w:ascii="Times New Roman" w:hAnsi="Times New Roman" w:cs="Times New Roman"/>
        </w:rPr>
        <w:t xml:space="preserve">载于</w:t>
      </w:r>
      <w:r>
        <w:rPr>
          <w:rFonts w:ascii="Times New Roman" w:hAnsi="Times New Roman" w:cs="Times New Roman"/>
          <w:smallCaps/>
        </w:rPr>
        <w:t xml:space="preserve">《</w:t>
      </w:r>
      <w:r>
        <w:rPr>
          <w:rFonts w:ascii="Times New Roman" w:hAnsi="Times New Roman" w:cs="Times New Roman"/>
          <w:smallCaps/>
        </w:rPr>
        <w:t xml:space="preserve">机器</w:t>
      </w:r>
      <w:r>
        <w:rPr>
          <w:rFonts w:ascii="Times New Roman" w:hAnsi="Times New Roman" w:cs="Times New Roman"/>
          <w:smallCaps/>
        </w:rPr>
        <w:t xml:space="preserve">学习</w:t>
      </w:r>
      <w:r>
        <w:rPr>
          <w:rFonts w:ascii="Times New Roman" w:hAnsi="Times New Roman" w:cs="Times New Roman"/>
          <w:smallCaps/>
        </w:rPr>
        <w:t xml:space="preserve">科学哲学》</w:t>
      </w:r>
      <w:r>
        <w:rPr>
          <w:rFonts w:ascii="Times New Roman" w:hAnsi="Times New Roman" w:cs="Times New Roman"/>
        </w:rPr>
        <w:t xml:space="preserve">第3-24页（胡安·M·杜兰和乔尔吉亚·波齐（编），施普林格·自然出版社，2026年）。</w:t>
      </w:r>
    </w:p>
  </w:footnote>
  <w:footnote w:id="55">
    <w:p w:rsidR="003B4412" w:rsidRDefault="003B4412" w14:paraId="619EDB6D" w14:textId="00E89AD2">
      <w:pPr>
        <w:pStyle w:val="FootnoteText"/>
      </w:pPr>
      <w:r>
        <w:rPr>
          <w:rStyle w:val="FootnoteReference"/>
        </w:rPr>
        <w:footnoteRef/>
      </w:r>
      <w:r>
        <w:fldChar w:fldCharType="begin"/>
      </w:r>
      <w:r w:rsidR="00C04038">
        <w:instrText xml:space="preserve"> ADDIN ZOTERO_ITEM CSL_CITATION {"citationID":"a3ISKYy5","properties":{"formattedCitation":"Linus Nyman &amp; Juho Lindman, {\\i{}Code Forking, Governance, and Sustainability in Open Source Software} (2013).","plainCitation":"Linus Nyman &amp; Juho Lindman, Code Forking, Governance, and Sustainability in Open Source Software (2013).","noteIndex":27},"citationItems":[{"id":156,"uris":["http://zotero.org/users/20142566/items/MGP5GFZL"],"itemData":{"id":156,"type":"article-journal","language":"en","source":"Zotero","title":"Code Forking, Governance, and Sustainability in Open Source Software","author":[{"family":"Nyman","given":"Linus"},{"family":"Lindman","given":"Juho"}],"issued":{"date-parts":[["2013"]]}}}],"schema":"https://github.com/citation-style-language/schema/raw/master/csl-citation.json"} </w:instrText>
      </w:r>
      <w:r>
        <w:fldChar w:fldCharType="separate"/>
      </w:r>
      <w:r w:rsidRPr="003B4412">
        <w:rPr>
          <w:rFonts w:cs="Times New Roman"/>
          <w:kern w:val="0"/>
          <w:lang w:bidi="yi-Hebr"/>
        </w:rPr>
        <w:t xml:space="preserve"> Linus Nyman &amp; Juho Lindman，《</w:t>
      </w:r>
      <w:r w:rsidRPr="003B4412">
        <w:rPr>
          <w:rFonts w:cs="Times New Roman"/>
          <w:i/>
          <w:iCs/>
          <w:kern w:val="0"/>
          <w:lang w:bidi="yi-Hebr"/>
        </w:rPr>
        <w:t xml:space="preserve">开源软件中的代码分叉、治理与可持续性</w:t>
      </w:r>
      <w:r w:rsidRPr="003B4412">
        <w:rPr>
          <w:rFonts w:cs="Times New Roman"/>
          <w:kern w:val="0"/>
          <w:lang w:bidi="yi-Hebr"/>
        </w:rPr>
        <w:t xml:space="preserve"> (2013).</w:t>
      </w:r>
      <w:r>
        <w:fldChar w:fldCharType="end"/>
      </w:r>
    </w:p>
  </w:footnote>
  <w:footnote w:id="56">
    <w:p w:rsidRPr="00EF62D0" w:rsidR="008C1B64" w:rsidRDefault="008C1B64" w14:paraId="25643059" w14:textId="3D15D4B3">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除了实践中的抵制和分叉</w:t>
      </w:r>
      <w:r w:rsidRPr="00EF62D0" w:rsidR="00DD59B7">
        <w:rPr>
          <w:rFonts w:ascii="Times New Roman" w:hAnsi="Times New Roman" w:cs="Times New Roman"/>
        </w:rPr>
        <w:t xml:space="preserve">（</w:t>
      </w:r>
      <w:r w:rsidRPr="00EF62D0">
        <w:rPr>
          <w:rFonts w:ascii="Times New Roman" w:hAnsi="Times New Roman" w:cs="Times New Roman"/>
        </w:rPr>
        <w:t xml:space="preserve">不同意主开发者或主代码的用户仍可分叉链条，且无法强制执行主代码）之外</w:t>
      </w:r>
      <w:r w:rsidRPr="00EF62D0">
        <w:rPr>
          <w:rFonts w:ascii="Times New Roman" w:hAnsi="Times New Roman" w:cs="Times New Roman"/>
        </w:rPr>
        <w:t xml:space="preserve">，</w:t>
      </w:r>
      <w:r w:rsidRPr="00EF62D0">
        <w:rPr>
          <w:rFonts w:ascii="Times New Roman" w:hAnsi="Times New Roman" w:cs="Times New Roman"/>
        </w:rPr>
        <w:t xml:space="preserve">还可能遇到单点故障，从而导致整个链条被破坏。</w:t>
      </w:r>
    </w:p>
  </w:footnote>
  <w:footnote w:id="57">
    <w:p w:rsidR="00A86225" w:rsidRDefault="00A86225" w14:paraId="686E4F68" w14:textId="5E9457E8">
      <w:pPr>
        <w:pStyle w:val="FootnoteText"/>
      </w:pPr>
      <w:r>
        <w:rPr>
          <w:rStyle w:val="FootnoteReference"/>
        </w:rPr>
        <w:footnoteRef/>
      </w:r>
      <w:r>
        <w:fldChar w:fldCharType="begin"/>
      </w:r>
      <w:r w:rsidR="00C04038">
        <w:instrText xml:space="preserve"> ADDIN ZOTERO_ITEM CSL_CITATION {"citationID":"DVqcgNol","properties":{"formattedCitation":"Maxime Doyon, {\\i{}Normativity, as a Concept in Phenomenology}, {\\i{}in} {\\scaps Encyclopedia of Phenomenology} 1 (Nicolas De Warren &amp; Ted Toadvine eds., 2025), https://link.springer.com/10.1007/978-3-030-47253-5_186-1.","plainCitation":"Maxime Doyon, Normativity, as a Concept in Phenomenology, in Encyclopedia of Phenomenology 1 (Nicolas De Warren &amp; Ted Toadvine eds., 2025), https://link.springer.com/10.1007/978-3-030-47253-5_186-1.","noteIndex":29},"citationItems":[{"id":155,"uris":["http://zotero.org/users/20142566/items/Z6PA5AKY"],"itemData":{"id":155,"type":"chapter","container-title":"Encyclopedia of Phenomenology","DOI":"10.1007/978-3-030-47253-5_186-1","ISBN":"978-3-030-47253-5","language":"en","page":"1-9","publisher":"Springer International Publishing","publisher-place":"Cham","source":"DOI.org (Crossref)","title":"Normativity, as a Concept in Phenomenology","URL":"https://link.springer.com/10.1007/978-3-030-47253-5_186-1","editor":[{"family":"De Warren","given":"Nicolas"},{"family":"Toadvine","given":"Ted"}],"author":[{"family":"Doyon","given":"Maxime"}],"accessed":{"date-parts":[["2026",4,13]]},"issued":{"date-parts":[["2025"]]}}}],"schema":"https://github.com/citation-style-language/schema/raw/master/csl-citation.json"} </w:instrText>
      </w:r>
      <w:r>
        <w:fldChar w:fldCharType="separate"/>
      </w:r>
      <w:r w:rsidRPr="00A86225">
        <w:rPr>
          <w:rFonts w:cs="Times New Roman"/>
          <w:kern w:val="0"/>
          <w:lang w:bidi="yi-Hebr"/>
        </w:rPr>
        <w:t xml:space="preserve"> 马克西姆·多永，</w:t>
      </w:r>
      <w:r w:rsidRPr="00A86225">
        <w:rPr>
          <w:rFonts w:cs="Times New Roman"/>
          <w:i/>
          <w:iCs/>
          <w:kern w:val="0"/>
          <w:lang w:bidi="yi-Hebr"/>
        </w:rPr>
        <w:t xml:space="preserve">《作为现象学概念的规范性》</w:t>
      </w:r>
      <w:r w:rsidRPr="00A86225">
        <w:rPr>
          <w:rFonts w:cs="Times New Roman"/>
          <w:kern w:val="0"/>
          <w:lang w:bidi="yi-Hebr"/>
        </w:rPr>
        <w:t xml:space="preserve">, </w:t>
      </w:r>
      <w:r w:rsidRPr="00A86225">
        <w:rPr>
          <w:rFonts w:cs="Times New Roman"/>
          <w:i/>
          <w:iCs/>
          <w:kern w:val="0"/>
          <w:lang w:bidi="yi-Hebr"/>
        </w:rPr>
        <w:t xml:space="preserve"> ，载于</w:t>
      </w:r>
      <w:r w:rsidRPr="00A86225">
        <w:rPr>
          <w:rFonts w:cs="Times New Roman"/>
          <w:smallCaps/>
          <w:kern w:val="0"/>
          <w:lang w:bidi="yi-Hebr"/>
        </w:rPr>
        <w:t xml:space="preserve">《现象学百科全书》</w:t>
      </w:r>
      <w:r w:rsidRPr="00A86225">
        <w:rPr>
          <w:rFonts w:cs="Times New Roman"/>
          <w:kern w:val="0"/>
          <w:lang w:bidi="yi-Hebr"/>
        </w:rPr>
        <w:t xml:space="preserve">第1卷（尼古拉斯·德·沃伦与泰德·托德瓦因主编，2025年），https://link.springer.com/10.1007/978-3-030-47253-5_186-1。</w:t>
      </w:r>
      <w:r>
        <w:fldChar w:fldCharType="end"/>
      </w:r>
    </w:p>
  </w:footnote>
  <w:footnote w:id="58">
    <w:p w:rsidR="000A1DD9" w:rsidRDefault="000A1DD9" w14:paraId="01A4AF6A" w14:textId="00757C0B">
      <w:pPr>
        <w:pStyle w:val="FootnoteText"/>
      </w:pPr>
      <w:r>
        <w:rPr>
          <w:rStyle w:val="FootnoteReference"/>
        </w:rPr>
        <w:footnoteRef/>
      </w:r>
      <w:r>
        <w:fldChar w:fldCharType="begin"/>
      </w:r>
      <w:r w:rsidR="00C04038">
        <w:instrText xml:space="preserve"> ADDIN ZOTERO_ITEM CSL_CITATION {"citationID":"XjEETJJW","properties":{"formattedCitation":"Eunsol Choi et al., {\\i{}Decontextualization: Making Sentences Stand-Alone}, 9 {\\scaps Trans. Assoc. Comput. Linguist.} 447 (2021); Bert van Oers, {\\i{}The Fallacy of Decontextualization}, 5 {\\scaps Mind Cult. Act.} 135 (1998).","plainCitation":"Eunsol Choi et al., Decontextualization: Making Sentences Stand-Alone, 9 Trans. Assoc. Comput. Linguist. 447 (2021); Bert van Oers, The Fallacy of Decontextualization, 5 Mind Cult. Act. 135 (1998).","noteIndex":30},"citationItems":[{"id":153,"uris":["http://zotero.org/users/20142566/items/4GSU5YHV"],"itemData":{"id":153,"type":"article-journal","abstract":"Models for question answering, dialogue agents, and summarization often interpret the meaning of a sentence in a rich context and use that meaning in a new context. Taking excerpts of text can be problematic, as key pieces may not be explicit in a local window. We isolate and define the problem of sentence decontextualization: taking a sentence together with its context and rewriting it to be interpretable out of context, while preserving its meaning. We describe an annotation procedure, collect data on the Wikipedia corpus, and use the data to train models to automatically decontextualize sentences. We present preliminary studies that show the value of sentence decontextualization in a user-facing task, and as preprocessing for systems that perform document understanding. We argue that decontextualization is an important subtask in many downstream applications, and that the definitions and resources provided can benefit tasks that operate on sentences that occur in a richer context.","container-title":"Transactions of the Association for Computational Linguistics","DOI":"10.1162/tacl_a_00377","ISSN":"2307-387X","journalAbbreviation":"Transactions of the Association for Computational Linguistics","page":"447-461","source":"Silverchair","title":"Decontextualization: Making Sentences Stand-Alone","title-short":"Decontextualization","volume":"9","author":[{"family":"Choi","given":"Eunsol"},{"family":"Palomaki","given":"Jennimaria"},{"family":"Lamm","given":"Matthew"},{"family":"Kwiatkowski","given":"Tom"},{"family":"Das","given":"Dipanjan"},{"family":"Collins","given":"Michael"}],"issued":{"date-parts":[["2021",4,26]]}}},{"id":154,"uris":["http://zotero.org/users/20142566/items/8FMWZLAQ"],"itemData":{"id":154,"type":"article-journal","abstract":"In this article, I argue against views of the development of abstract thinking that employ the notion of decontextualization. Starting from an assumption that conceives of context as constitutive of meaning, it becomes clear that the notion of \"decontextualization\" is a poor concept that provides little explanation for the developmental process toward meaningful abstract thinking. I propose a conceptualization of the notion of context from an activity point of view and contend that the conscious process of (re)contextualizing—that is, the continuous process of embedding contexts in contexts—can lead to an explanation of the development of meaningful abstract thinking. The process of continuous progressive recontextualizing is described in the article on the basis of how young children expand their play activity toward embedded, more abstract activities.","container-title":"Mind, Culture, and Activity","DOI":"10.1207/s15327884mca0502_7","ISSN":"1074-9039","issue":"2","note":"_eprint: https://doi.org/10.1207/s15327884mca0502_7","page":"135-142","publisher":"Routledge","source":"Taylor and Francis+NEJM","title":"The Fallacy of Decontextualization","volume":"5","author":[{"family":"Oers","given":"Bert","non-dropping-particle":"van"}],"issued":{"date-parts":[["1998",1,1]]}}}],"schema":"https://github.com/citation-style-language/schema/raw/master/csl-citation.json"} </w:instrText>
      </w:r>
      <w:r>
        <w:fldChar w:fldCharType="separate"/>
      </w:r>
      <w:r>
        <w:rPr>
          <w:rFonts w:cs="Times New Roman"/>
          <w:kern w:val="0"/>
          <w:lang w:bidi="yi-Hebr"/>
        </w:rPr>
        <w:t xml:space="preserve"> </w:t>
      </w:r>
      <w:r>
        <w:t>Eunsol Choi et al., Decontextualization: Making Sentences Stand-Alone</w:t>
      </w:r>
      <w:r w:rsidRPr="000A1DD9">
        <w:rPr>
          <w:rFonts w:cs="Times New Roman"/>
          <w:kern w:val="0"/>
          <w:lang w:bidi="yi-Hebr"/>
        </w:rPr>
        <w:t xml:space="preserve">, 9 </w:t>
      </w:r>
      <w:r>
        <w:t>Trans. Assoc. Comput. Linguist. 447 (2021); Bert van Oers, The Fallacy of Decontextualization</w:t>
      </w:r>
      <w:r>
        <w:rPr>
          <w:rFonts w:cs="Times New Roman"/>
          <w:kern w:val="0"/>
          <w:lang w:bidi="yi-Hebr"/>
        </w:rPr>
        <w:t>, 5</w:t>
      </w:r>
      <w:r>
        <w:t xml:space="preserve"> Mind Cult. Act.</w:t>
      </w:r>
      <w:r w:rsidRPr="000A1DD9">
        <w:rPr>
          <w:rFonts w:cs="Times New Roman"/>
          <w:kern w:val="0"/>
          <w:lang w:bidi="yi-Hebr"/>
        </w:rPr>
        <w:t xml:space="preserve"> 135 (1998).</w:t>
      </w:r>
      <w:r>
        <w:fldChar w:fldCharType="end"/>
      </w:r>
    </w:p>
  </w:footnote>
  <w:footnote w:id="59">
    <w:p w:rsidRPr="00EF62D0" w:rsidR="004A0EED" w:rsidP="004E3A22" w:rsidRDefault="004A0EED" w14:paraId="6C9DC28D" w14:textId="098DB058">
      <w:pPr>
        <w:pStyle w:val="Comment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若要探讨应避免和应赞赏的偏见，不妨考虑这一点：编写区块链协议的个人决定哪些交易被优先处理、手续费如何设定、什么被视为有效——因此，</w:t>
      </w:r>
      <w:r w:rsidRPr="00EF62D0">
        <w:rPr>
          <w:rFonts w:ascii="Times New Roman" w:hAnsi="Times New Roman" w:cs="Times New Roman"/>
        </w:rPr>
        <w:t xml:space="preserve">区块大小较小</w:t>
      </w:r>
      <w:r w:rsidRPr="00EF62D0" w:rsidR="00DD59B7">
        <w:rPr>
          <w:rFonts w:ascii="Times New Roman" w:hAnsi="Times New Roman" w:cs="Times New Roman"/>
        </w:rPr>
        <w:t xml:space="preserve">的人</w:t>
      </w:r>
      <w:r w:rsidRPr="00EF62D0">
        <w:rPr>
          <w:rFonts w:ascii="Times New Roman" w:hAnsi="Times New Roman" w:cs="Times New Roman"/>
        </w:rPr>
        <w:t xml:space="preserve">可能比区块较大的人更受优先对待。（偏见被固化在代码中）。 这同样可能适用于共识机制：（1）工作量证明（PoW）——可能向拥有低廉电费或矿场资源的群体倾斜；（2）权益证明（PoS）——优先考虑那些已经持有大量代币的人（富者愈富）等。 </w:t>
      </w:r>
    </w:p>
  </w:footnote>
  <w:footnote w:id="60">
    <w:p w:rsidRPr="005A4CCB" w:rsidR="005A4CCB" w:rsidRDefault="005A4CCB" w14:paraId="2D94135C" w14:textId="36D71C1D">
      <w:pPr>
        <w:pStyle w:val="FootnoteText"/>
      </w:pPr>
      <w:r>
        <w:rPr>
          <w:rStyle w:val="FootnoteReference"/>
        </w:rPr>
        <w:footnoteRef/>
      </w:r>
      <w:r>
        <w:t xml:space="preserve"> </w:t>
      </w:r>
      <w:r>
        <w:t>Lawrence Lessing, Code and Other Laws of Cyberspace (Basic</w:t>
      </w:r>
      <w:r>
        <w:t xml:space="preserve"> Books</w:t>
      </w:r>
      <w:r>
        <w:t>, 1999).</w:t>
      </w:r>
    </w:p>
  </w:footnote>
  <w:footnote w:id="61">
    <w:p w:rsidRPr="005A4CCB" w:rsidR="005A4CCB" w:rsidP="005A4CCB" w:rsidRDefault="005A4CCB" w14:paraId="4FF6A4E6" w14:textId="4FEF0F7D">
      <w:pPr>
        <w:pStyle w:val="FootnoteText"/>
      </w:pPr>
      <w:r>
        <w:rPr>
          <w:rStyle w:val="FootnoteReference"/>
        </w:rPr>
        <w:footnoteRef/>
      </w:r>
      <w:r>
        <w:t xml:space="preserve"> </w:t>
      </w:r>
      <w:r>
        <w:t>Primavera De Filippi, Morshed Mannan &amp; Wessel Reijers, Blockchain Technology and the Rule of Code: Regulation via Governance, 92 Geo. Wash. L. Rev. 1229 (2024)</w:t>
      </w:r>
      <w:r>
        <w:t>（“</w:t>
      </w:r>
      <w:r>
        <w:t>依</w:t>
      </w:r>
      <w:r>
        <w:t>代码</w:t>
      </w:r>
      <w:r>
        <w:t>而</w:t>
      </w:r>
      <w:r>
        <w:t>治</w:t>
      </w:r>
      <w:r>
        <w:t>是</w:t>
      </w:r>
      <w:r>
        <w:t>一种在线治理体系，其中存在一个凌驾于代码之上的主权者（即在线运营商，以及运营商必须向其负责的监管机构），因此该主权者利用代码对受该代码约束的互联网用户施加限制和约束”</w:t>
      </w:r>
      <w:r>
        <w:t>，</w:t>
      </w:r>
      <w:r>
        <w:t>同上，第1244页）</w:t>
      </w:r>
    </w:p>
  </w:footnote>
  <w:footnote w:id="62">
    <w:p w:rsidRPr="00ED3C8C" w:rsidR="00ED3C8C" w:rsidRDefault="00ED3C8C" w14:paraId="27AFD870" w14:textId="395D6BF2">
      <w:pPr>
        <w:pStyle w:val="FootnoteText"/>
      </w:pPr>
      <w:r>
        <w:rPr>
          <w:rStyle w:val="FootnoteReference"/>
        </w:rPr>
        <w:footnoteRef/>
      </w:r>
      <w:r>
        <w:t xml:space="preserve"> </w:t>
      </w:r>
      <w:r w:rsidRPr="004E3A22">
        <w:t xml:space="preserve">安杰莉卡·林德奎斯特，《作为代码的规则——一种开放式方法》，欧盟</w:t>
      </w:r>
      <w:r w:rsidRPr="004E3A22">
        <w:t xml:space="preserve">委员会，欧盟</w:t>
      </w:r>
      <w:r w:rsidRPr="004E3A22">
        <w:t xml:space="preserve">政府科技（</w:t>
      </w:r>
      <w:r w:rsidRPr="004E3A22">
        <w:t xml:space="preserve">EU </w:t>
      </w:r>
      <w:r w:rsidRPr="004E3A22">
        <w:t xml:space="preserve">GovTech</w:t>
      </w:r>
      <w:r w:rsidRPr="004E3A22">
        <w:t xml:space="preserve">）</w:t>
      </w:r>
      <w:r w:rsidRPr="004E3A22">
        <w:t xml:space="preserve">；可参见 [</w:t>
      </w:r>
      <w:r w:rsidRPr="00ED3C8C">
        <w:t xml:space="preserve">https://interoperable-europe.ec.europa.eu/collection/eugovtech/document/rules-code-open-approach</w:t>
      </w:r>
      <w:r w:rsidRPr="004E3A22" w:rsidR="00DD59B7">
        <w:t xml:space="preserve">]。</w:t>
      </w:r>
      <w:r w:rsidR="00DD59B7">
        <w:t xml:space="preserve"> </w:t>
      </w:r>
      <w:r>
        <w:t xml:space="preserve">参见罗南·肯尼迪，《</w:t>
      </w:r>
      <w:r w:rsidRPr="00ED3C8C">
        <w:t xml:space="preserve">规则即代码与法治：确保对软件行政行为的有效司法审查</w:t>
      </w:r>
      <w:r>
        <w:t xml:space="preserve">》，《</w:t>
      </w:r>
      <w:r w:rsidRPr="004E3A22">
        <w:rPr>
          <w:smallCaps/>
        </w:rPr>
        <w:t xml:space="preserve">法律、创新与技术》</w:t>
      </w:r>
      <w:r>
        <w:t xml:space="preserve">第16卷，</w:t>
      </w:r>
      <w:r>
        <w:t xml:space="preserve">第170-193页（2024年）。 </w:t>
      </w:r>
    </w:p>
  </w:footnote>
  <w:footnote w:id="63">
    <w:p w:rsidRPr="005A4CCB" w:rsidR="005A4CCB" w:rsidP="00DA7D97" w:rsidRDefault="005A4CCB" w14:paraId="6397CA7B" w14:textId="1B85225C">
      <w:pPr>
        <w:pStyle w:val="FootnoteText"/>
      </w:pPr>
      <w:r>
        <w:rPr>
          <w:rStyle w:val="FootnoteReference"/>
        </w:rPr>
        <w:footnoteRef/>
      </w:r>
      <w:r>
        <w:t xml:space="preserve"> </w:t>
      </w:r>
      <w:r w:rsidR="00ED3C8C">
        <w:t xml:space="preserve">关于这一基本前提的政治变体，以及由此凸显的监管体系中及为监管体系服务的法治政治原教旨主义，参见杰</w:t>
      </w:r>
      <w:r w:rsidR="00DD59B7">
        <w:t xml:space="preserve">拉尔德·J·波斯特马（</w:t>
      </w:r>
      <w:r w:rsidR="00ED3C8C">
        <w:t xml:space="preserve">Gerald J. </w:t>
      </w:r>
      <w:r w:rsidR="00DD59B7">
        <w:t xml:space="preserve">Postema）的《</w:t>
      </w:r>
      <w:r w:rsidRPr="004E3A22" w:rsidR="00DA7D97">
        <w:rPr>
          <w:i/>
          <w:iCs/>
        </w:rPr>
        <w:t xml:space="preserve">一项“近乎神圣的责任”：危难时刻的法治》</w:t>
      </w:r>
      <w:r w:rsidR="00DA7D97">
        <w:t xml:space="preserve">，</w:t>
      </w:r>
      <w:r w:rsidRPr="004E3A22" w:rsidR="00ED3C8C">
        <w:rPr>
          <w:smallCaps/>
        </w:rPr>
        <w:t xml:space="preserve">载《司法》</w:t>
      </w:r>
      <w:r w:rsidR="00ED3C8C">
        <w:t xml:space="preserve">第107卷第3期</w:t>
      </w:r>
      <w:r w:rsidR="00DA7D97">
        <w:t xml:space="preserve">，第17-23页（2024年）。</w:t>
      </w:r>
    </w:p>
  </w:footnote>
  <w:footnote w:id="64">
    <w:p w:rsidRPr="00EF62D0" w:rsidR="00D2463A" w:rsidRDefault="00D2463A" w14:paraId="61C89486" w14:textId="5D83E62E">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例如，可以推测，</w:t>
      </w:r>
      <w:r w:rsidRPr="00EF62D0">
        <w:rPr>
          <w:rFonts w:ascii="Times New Roman" w:hAnsi="Times New Roman" w:cs="Times New Roman"/>
        </w:rPr>
        <w:t xml:space="preserve">无论相关复杂的“智能”合约多么透明，</w:t>
      </w:r>
      <w:r w:rsidRPr="00EF62D0">
        <w:rPr>
          <w:rFonts w:ascii="Times New Roman" w:hAnsi="Times New Roman" w:cs="Times New Roman"/>
        </w:rPr>
        <w:t xml:space="preserve">能</w:t>
      </w:r>
      <w:r w:rsidRPr="00EF62D0" w:rsidR="00DD59B7">
        <w:rPr>
          <w:rFonts w:ascii="Times New Roman" w:hAnsi="Times New Roman" w:cs="Times New Roman"/>
        </w:rPr>
        <w:t xml:space="preserve">读懂</w:t>
      </w:r>
      <w:r w:rsidRPr="00EF62D0">
        <w:rPr>
          <w:rFonts w:ascii="Times New Roman" w:hAnsi="Times New Roman" w:cs="Times New Roman"/>
        </w:rPr>
        <w:t xml:space="preserve">或理解它们</w:t>
      </w:r>
      <w:r w:rsidRPr="00EF62D0">
        <w:rPr>
          <w:rFonts w:ascii="Times New Roman" w:hAnsi="Times New Roman" w:cs="Times New Roman"/>
        </w:rPr>
        <w:t xml:space="preserve">的用户寥寥无几</w:t>
      </w:r>
      <w:r w:rsidRPr="00EF62D0">
        <w:rPr>
          <w:rFonts w:ascii="Times New Roman" w:hAnsi="Times New Roman" w:cs="Times New Roman"/>
        </w:rPr>
        <w:t xml:space="preserve">。大多数用户依赖审计师或开发者，这便形成了问责缺口。</w:t>
      </w:r>
    </w:p>
  </w:footnote>
  <w:footnote w:id="65">
    <w:p w:rsidR="00C4611B" w:rsidRDefault="00C4611B" w14:paraId="6E6B8B6F" w14:textId="04AF3BDB">
      <w:pPr>
        <w:pStyle w:val="FootnoteText"/>
      </w:pPr>
      <w:r>
        <w:rPr>
          <w:rStyle w:val="FootnoteReference"/>
        </w:rPr>
        <w:footnoteRef/>
      </w:r>
      <w:r>
        <w:fldChar w:fldCharType="begin"/>
      </w:r>
      <w:r w:rsidR="00C04038">
        <w:instrText xml:space="preserve"> ADDIN ZOTERO_ITEM CSL_CITATION {"citationID":"wkuKUnS8","properties":{"formattedCitation":"E. D. van Asselt et al., {\\i{}Overview of Available Methods for Risk Based Control within the European Union}, 23 {\\scaps Trends Food Sci. Technol.} 51 (2012); Maria Eduarda Gon\\uc0\\u231{}alves, {\\i{}The Risk-Based Approach under the New EU Data Protection Regulation: A Critical Perspective}, 23 {\\scaps J. Risk Res.} 139 (2020).","plainCitation":"E. D. van Asselt et al., Overview of Available Methods for Risk Based Control within the European Union, 23 Trends Food Sci. Technol. 51 (2012); Maria Eduarda Gonçalves, The Risk-Based Approach under the New EU Data Protection Regulation: A Critical Perspective, 23 J. Risk Res. 139 (2020).","noteIndex":33},"citationItems":[{"id":151,"uris":["http://zotero.org/users/20142566/items/LJE9F33C"],"itemData":{"id":151,"type":"article-journal","abstract":"This paper gives an overview of methods available for implementing Risk Based Control (RBC), consisting of two steps: Risk Categorization (RC) and Risk Based Surveillance (RBS). Various models and approaches are available for prioritizing hazard-food combinations in RC. Economic models and expert elicitation can be used to include the food safety performance of processing companies in RBS, based on historical data, food safety management systems present and the level of compliance. When Member States apply RBC, the methodology used to derive the various scores for RC and RBS need to be grounded and documented to improve transparency in the applied procedure.","container-title":"Trends in Food Science &amp; Technology","DOI":"10.1016/j.tifs.2011.08.009","ISSN":"0924-2244","issue":"1","journalAbbreviation":"Trends in Food Science &amp; Technology","page":"51-58","source":"ScienceDirect","title":"Overview of available methods for Risk Based Control within the European Union","volume":"23","author":[{"family":"Asselt","given":"E. D.","non-dropping-particle":"van"},{"family":"Sterrenburg","given":"P."},{"family":"Noordam","given":"M. Y."},{"family":"Fels-Klerx","given":"H. J.","non-dropping-particle":"van der"}],"issued":{"date-parts":[["2012",1,1]]}}},{"id":152,"uris":["http://zotero.org/users/20142566/items/4AS6UDWG"],"itemData":{"id":152,"type":"article-journal","container-title":"Journal of Risk Research","DOI":"10.1080/13669877.2018.1517381","ISSN":"1366-9877, 1466-4461","issue":"2","journalAbbreviation":"Journal of Risk Research","language":"en","page":"139-152","source":"DOI.org (Crossref)","title":"The risk-based approach under the new EU data protection regulation: a critical perspective","title-short":"The risk-based approach under the new EU data protection regulation","volume":"23","author":[{"family":"Gonçalves","given":"Maria Eduarda"}],"issued":{"date-parts":[["2020",2,1]]}}}],"schema":"https://github.com/citation-style-language/schema/raw/master/csl-citation.json"} </w:instrText>
      </w:r>
      <w:r>
        <w:fldChar w:fldCharType="separate"/>
      </w:r>
      <w:r>
        <w:rPr>
          <w:rFonts w:cs="Times New Roman"/>
          <w:kern w:val="0"/>
          <w:lang w:bidi="yi-Hebr"/>
        </w:rPr>
        <w:t xml:space="preserve"> E. D. van Asselt </w:t>
      </w:r>
      <w:r>
        <w:t>et al., Overview of Available Methods for Risk Based Control within the European Union</w:t>
      </w:r>
      <w:r>
        <w:rPr>
          <w:rFonts w:cs="Times New Roman"/>
          <w:kern w:val="0"/>
          <w:lang w:bidi="yi-Hebr"/>
        </w:rPr>
        <w:t>, 23</w:t>
      </w:r>
      <w:r>
        <w:t xml:space="preserve"> Trends Food Sci. Technol.</w:t>
      </w:r>
      <w:r>
        <w:rPr>
          <w:rFonts w:cs="Times New Roman"/>
          <w:kern w:val="0"/>
          <w:lang w:bidi="yi-Hebr"/>
        </w:rPr>
        <w:t xml:space="preserve"> 51 </w:t>
      </w:r>
      <w:r>
        <w:t>(2012); Maria Eduarda Gonçalves, The Risk-Based Approach under the New EU Data Protection Regulation: A Critical Perspective</w:t>
      </w:r>
      <w:r>
        <w:rPr>
          <w:rFonts w:cs="Times New Roman"/>
          <w:kern w:val="0"/>
          <w:lang w:bidi="yi-Hebr"/>
        </w:rPr>
        <w:t>, 23</w:t>
      </w:r>
      <w:r>
        <w:t xml:space="preserve"> J. Risk Res. </w:t>
      </w:r>
      <w:r>
        <w:rPr>
          <w:rFonts w:cs="Times New Roman"/>
          <w:kern w:val="0"/>
          <w:lang w:bidi="yi-Hebr"/>
        </w:rPr>
        <w:t>139 (2020).</w:t>
      </w:r>
      <w:r>
        <w:fldChar w:fldCharType="end"/>
      </w:r>
    </w:p>
  </w:footnote>
  <w:footnote w:id="66">
    <w:p w:rsidRPr="003E3990" w:rsidR="00064BAE" w:rsidP="00064BAE" w:rsidRDefault="00064BAE" w14:paraId="34858D20" w14:textId="2C58E9BF">
      <w:pPr>
        <w:pStyle w:val="FootnoteText"/>
      </w:pPr>
      <w:r>
        <w:rPr>
          <w:rStyle w:val="FootnoteReference"/>
        </w:rPr>
        <w:footnoteRef/>
      </w:r>
      <w:r>
        <w:t xml:space="preserve"> 参见《基于人权的项目规划：它是什么？》（联合国</w:t>
      </w:r>
      <w:r w:rsidR="00DD59B7">
        <w:t xml:space="preserve">人口基金，</w:t>
      </w:r>
      <w:r>
        <w:t xml:space="preserve">2006年</w:t>
      </w:r>
      <w:r w:rsidR="00DD59B7">
        <w:t xml:space="preserve">），可访问 </w:t>
      </w:r>
      <w:r>
        <w:t xml:space="preserve">[</w:t>
      </w:r>
      <w:r w:rsidRPr="00064BAE">
        <w:t xml:space="preserve">https://www.unfpa.org/sites/default/files/resource-pdf/human_rights.pdf</w:t>
      </w:r>
      <w:r w:rsidR="00DD59B7">
        <w:t xml:space="preserve">]；Jamie </w:t>
      </w:r>
      <w:r>
        <w:t xml:space="preserve">Frederic Metzl，《信息技术与人权》，《人权季刊》第18卷第4期，第705-746页（1996年</w:t>
      </w:r>
      <w:r w:rsidR="006C1A1D">
        <w:t xml:space="preserve">）。</w:t>
      </w:r>
      <w:r>
        <w:t xml:space="preserve"> </w:t>
      </w:r>
    </w:p>
  </w:footnote>
  <w:footnote w:id="67">
    <w:p w:rsidRPr="00064BAE" w:rsidR="00064BAE" w:rsidRDefault="00064BAE" w14:paraId="43D7D06B" w14:textId="2FF7EDA7">
      <w:pPr>
        <w:pStyle w:val="FootnoteText"/>
      </w:pPr>
      <w:r>
        <w:rPr>
          <w:rStyle w:val="FootnoteReference"/>
        </w:rPr>
        <w:footnoteRef/>
      </w:r>
      <w:r>
        <w:t xml:space="preserve"> </w:t>
      </w:r>
      <w:r w:rsidRPr="004E3A22">
        <w:t xml:space="preserve">安大略人权委员会，《基于人权的政策与项目制定方法》，可参见 [https://www3.ohrc.on.ca/en/human-rights-based-approach-policy-and-program-development-0]</w:t>
      </w:r>
    </w:p>
  </w:footnote>
  <w:footnote w:id="68">
    <w:p w:rsidRPr="003E3990" w:rsidR="003E3990" w:rsidRDefault="003E3990" w14:paraId="3805EF53" w14:textId="778D8409">
      <w:pPr>
        <w:pStyle w:val="FootnoteText"/>
      </w:pPr>
      <w:r>
        <w:rPr>
          <w:rStyle w:val="FootnoteReference"/>
        </w:rPr>
        <w:footnoteRef/>
      </w:r>
      <w:r>
        <w:t xml:space="preserve"> </w:t>
      </w:r>
      <w:r w:rsidR="00064BAE">
        <w:t xml:space="preserve">参见：乔·胡佛，</w:t>
      </w:r>
      <w:r w:rsidRPr="004E3A22" w:rsidR="00064BAE">
        <w:rPr>
          <w:i/>
          <w:iCs/>
        </w:rPr>
        <w:t xml:space="preserve">《重读〈世界人权宣言〉：多元性与争议，而非共识</w:t>
      </w:r>
      <w:r w:rsidR="00064BAE">
        <w:t xml:space="preserve">》，</w:t>
      </w:r>
      <w:r w:rsidRPr="004E3A22" w:rsidR="00064BAE">
        <w:rPr>
          <w:smallCaps/>
        </w:rPr>
        <w:t xml:space="preserve">《人权</w:t>
      </w:r>
      <w:r w:rsidRPr="004E3A22" w:rsidR="00064BAE">
        <w:rPr>
          <w:smallCaps/>
        </w:rPr>
        <w:t xml:space="preserve">杂志</w:t>
      </w:r>
      <w:r w:rsidRPr="004E3A22" w:rsidR="00064BAE">
        <w:rPr>
          <w:smallCaps/>
        </w:rPr>
        <w:t xml:space="preserve">》</w:t>
      </w:r>
      <w:r w:rsidRPr="004E3A22" w:rsidR="00064BAE">
        <w:rPr>
          <w:smallCaps/>
        </w:rPr>
        <w:t xml:space="preserve">第12卷，</w:t>
      </w:r>
      <w:r w:rsidR="00064BAE">
        <w:t xml:space="preserve">第217-241页（2013年）。</w:t>
      </w:r>
    </w:p>
  </w:footnote>
  <w:footnote w:id="69">
    <w:p w:rsidRPr="00EA7583" w:rsidR="001C4178" w:rsidP="001C4178" w:rsidRDefault="001C4178" w14:paraId="61CF60D2" w14:textId="77777777">
      <w:pPr>
        <w:pStyle w:val="FootnoteText"/>
      </w:pPr>
      <w:r>
        <w:rPr>
          <w:rStyle w:val="FootnoteReference"/>
        </w:rPr>
        <w:footnoteRef/>
      </w:r>
      <w:r>
        <w:t xml:space="preserve"> 参见</w:t>
      </w:r>
      <w:r w:rsidRPr="00EA7583">
        <w:rPr>
          <w:smallCaps/>
        </w:rPr>
        <w:t xml:space="preserve">诺伯特·维纳，《上帝与傀儡公司：论控制论与宗教交汇处的若干问题</w:t>
      </w:r>
      <w:r>
        <w:t xml:space="preserve">》（麻省理工学院出版社，1964年），第82-85页。</w:t>
      </w:r>
    </w:p>
  </w:footnote>
  <w:footnote w:id="70">
    <w:p w:rsidRPr="001C4178" w:rsidR="001C4178" w:rsidRDefault="001C4178" w14:paraId="37C41973" w14:textId="5F85AE65">
      <w:pPr>
        <w:pStyle w:val="FootnoteText"/>
      </w:pPr>
      <w:r>
        <w:rPr>
          <w:rStyle w:val="FootnoteReference"/>
        </w:rPr>
        <w:footnoteRef/>
      </w:r>
      <w:r>
        <w:t xml:space="preserve"> 参见：</w:t>
      </w:r>
      <w:r w:rsidRPr="001C4178">
        <w:rPr>
          <w:rFonts w:hint="eastAsia"/>
        </w:rPr>
        <w:t xml:space="preserve">彼得·R·刘易斯</w:t>
      </w:r>
      <w:r>
        <w:t xml:space="preserve">和</w:t>
      </w:r>
      <w:r w:rsidRPr="001C4178">
        <w:rPr>
          <w:rFonts w:hint="eastAsia"/>
        </w:rPr>
        <w:t xml:space="preserve">斯特凡</w:t>
      </w:r>
      <w:r w:rsidRPr="001C4178">
        <w:rPr>
          <w:rFonts w:hint="eastAsia"/>
        </w:rPr>
        <w:t xml:space="preserve">·萨尔卡迪</w:t>
      </w:r>
      <w:r>
        <w:t xml:space="preserve">，《反思性人工智能》，</w:t>
      </w:r>
      <w:r>
        <w:t xml:space="preserve">载《</w:t>
      </w:r>
      <w:r>
        <w:t xml:space="preserve">思维与机器》第34卷第14页；可访问 [</w:t>
      </w:r>
      <w:r w:rsidRPr="001C4178">
        <w:t xml:space="preserve">https://doi.org/10.1007/s11023-024-09664-2</w:t>
      </w:r>
      <w:r>
        <w:t xml:space="preserve">]。</w:t>
      </w:r>
    </w:p>
  </w:footnote>
  <w:footnote w:id="71">
    <w:p w:rsidR="005572A1" w:rsidRDefault="005572A1" w14:paraId="1789435C" w14:textId="1FBD4CD9">
      <w:pPr>
        <w:pStyle w:val="FootnoteText"/>
      </w:pPr>
      <w:r>
        <w:rPr>
          <w:rStyle w:val="FootnoteReference"/>
        </w:rPr>
        <w:footnoteRef/>
      </w:r>
      <w:r>
        <w:fldChar w:fldCharType="begin"/>
      </w:r>
      <w:r w:rsidR="00C04038">
        <w:instrText xml:space="preserve"> ADDIN ZOTERO_ITEM CSL_CITATION {"citationID":"YPyvyKuu","properties":{"formattedCitation":"Michel Foucault, {\\i{}The History of Sexuality, Vol. 1: An Introduction} (Reprint ed. 1990).","plainCitation":"Michel Foucault, The History of Sexuality, Vol. 1: An Introduction (Reprint ed. 1990).","noteIndex":34},"citationItems":[{"id":150,"uris":["http://zotero.org/users/20142566/items/T8IT2SPH"],"itemData":{"id":150,"type":"chapter","edition":"Reprint","ISBN":"978-0-14-012474-3","language":"eng","note":"number-of-pages: 168","publisher":"Penguin Books","publisher-place":"London","source":"K10plus ISBN","title":"The History of Sexuality, Vol. 1: An Introduction","title-short":"The history of sexuality. Vol. 1","author":[{"family":"Foucault","given":"Michel"}],"issued":{"date-parts":[["1990"]]}}}],"schema":"https://github.com/citation-style-language/schema/raw/master/csl-citation.json"} </w:instrText>
      </w:r>
      <w:r>
        <w:fldChar w:fldCharType="separate"/>
      </w:r>
      <w:r w:rsidRPr="005572A1">
        <w:rPr>
          <w:rFonts w:cs="Times New Roman"/>
          <w:kern w:val="0"/>
          <w:lang w:bidi="yi-Hebr"/>
        </w:rPr>
        <w:t xml:space="preserve"> 米歇尔·福柯，</w:t>
      </w:r>
      <w:r w:rsidRPr="005572A1">
        <w:rPr>
          <w:rFonts w:cs="Times New Roman"/>
          <w:i/>
          <w:iCs/>
          <w:kern w:val="0"/>
          <w:lang w:bidi="yi-Hebr"/>
        </w:rPr>
        <w:t xml:space="preserve">《性史》第1卷：导论</w:t>
      </w:r>
      <w:r w:rsidRPr="005572A1">
        <w:rPr>
          <w:rFonts w:cs="Times New Roman"/>
          <w:kern w:val="0"/>
          <w:lang w:bidi="yi-Hebr"/>
        </w:rPr>
        <w:t xml:space="preserve">（1990年再版）。</w:t>
      </w:r>
      <w:r>
        <w:fldChar w:fldCharType="end"/>
      </w:r>
    </w:p>
  </w:footnote>
  <w:footnote w:id="72">
    <w:p w:rsidRPr="009A4AD1" w:rsidR="009A4AD1" w:rsidP="009A4AD1" w:rsidRDefault="009A4AD1" w14:paraId="6A32B430" w14:textId="31217FE6">
      <w:pPr>
        <w:pStyle w:val="FootnoteText"/>
      </w:pPr>
      <w:r>
        <w:rPr>
          <w:rStyle w:val="FootnoteReference"/>
        </w:rPr>
        <w:footnoteRef/>
      </w:r>
      <w:r>
        <w:t xml:space="preserve"> Jan Groos在</w:t>
      </w:r>
      <w:r w:rsidRPr="004E3A22">
        <w:rPr>
          <w:i/>
          <w:iCs/>
        </w:rPr>
        <w:t xml:space="preserve">《加密政治：关于基于区块链技术治理的社会技术想象的笔记</w:t>
      </w:r>
      <w:r>
        <w:t xml:space="preserve">》（</w:t>
      </w:r>
      <w:r w:rsidRPr="004E3A22">
        <w:rPr>
          <w:smallCaps/>
        </w:rPr>
        <w:t xml:space="preserve">收录于</w:t>
      </w:r>
      <w:r>
        <w:t xml:space="preserve">  </w:t>
      </w:r>
      <w:r w:rsidRPr="004E3A22">
        <w:rPr>
          <w:smallCaps/>
        </w:rPr>
        <w:t xml:space="preserve"> 《数据沃土：有时坚硬，通常柔软：</w:t>
      </w:r>
      <w:r w:rsidRPr="004E3A22">
        <w:rPr>
          <w:smallCaps/>
        </w:rPr>
        <w:t xml:space="preserve">知识</w:t>
      </w:r>
      <w:r>
        <w:t xml:space="preserve">系统的</w:t>
      </w:r>
      <w:r w:rsidRPr="004E3A22">
        <w:rPr>
          <w:smallCaps/>
        </w:rPr>
        <w:t xml:space="preserve">未来</w:t>
      </w:r>
      <w:r w:rsidR="003271E3">
        <w:t xml:space="preserve">》第148-170页</w:t>
      </w:r>
      <w:r>
        <w:t xml:space="preserve">，</w:t>
      </w:r>
      <w:r w:rsidRPr="009A4AD1">
        <w:t xml:space="preserve">Johnny Golding</w:t>
      </w:r>
      <w:r w:rsidRPr="009A4AD1">
        <w:t xml:space="preserve">、</w:t>
      </w:r>
      <w:r w:rsidRPr="009A4AD1">
        <w:t xml:space="preserve">Martin Reinhart</w:t>
      </w:r>
      <w:r w:rsidRPr="009A4AD1">
        <w:t xml:space="preserve">、</w:t>
      </w:r>
      <w:r w:rsidRPr="009A4AD1">
        <w:t xml:space="preserve">Mattia Paganelli</w:t>
      </w:r>
      <w:r>
        <w:t xml:space="preserve">（</w:t>
      </w:r>
      <w:r w:rsidRPr="009A4AD1">
        <w:t xml:space="preserve">编</w:t>
      </w:r>
      <w:r>
        <w:t xml:space="preserve">），德格鲁伊特出版社，2021年）</w:t>
      </w:r>
      <w:r w:rsidRPr="004E3A22">
        <w:rPr>
          <w:i/>
          <w:iCs/>
        </w:rPr>
        <w:t xml:space="preserve">中</w:t>
      </w:r>
      <w:r>
        <w:t xml:space="preserve">对此有精辟论述</w:t>
      </w:r>
      <w:r>
        <w:t xml:space="preserve"> （“追求所谓的‘政治终结’，转而支持</w:t>
      </w:r>
      <w:r>
        <w:t xml:space="preserve">去</w:t>
      </w:r>
      <w:r>
        <w:t xml:space="preserve">中心化的算法</w:t>
      </w:r>
      <w:r>
        <w:t xml:space="preserve">自</w:t>
      </w:r>
      <w:r>
        <w:t xml:space="preserve">组织——这一曾作为围绕区块链技术的基础神话之一——最终导致普通政治的必要性以极强的强度浮出水面。”同上，第156页）。</w:t>
      </w:r>
    </w:p>
  </w:footnote>
  <w:footnote w:id="73">
    <w:p w:rsidR="001042C2" w:rsidRDefault="001042C2" w14:paraId="7E6D9B98" w14:textId="1ABD772B">
      <w:pPr>
        <w:pStyle w:val="FootnoteText"/>
      </w:pPr>
      <w:r>
        <w:rPr>
          <w:rStyle w:val="FootnoteReference"/>
        </w:rPr>
        <w:footnoteRef/>
      </w:r>
      <w:r>
        <w:fldChar w:fldCharType="begin"/>
      </w:r>
      <w:r w:rsidR="003F6FF0">
        <w:instrText xml:space="preserve"> ADDIN ZOTERO_ITEM CSL_CITATION {"citationID":"kahYmiY8","properties":{"formattedCitation":"{\\scaps De Filippi and Wright}, {\\i{}supra} note 28.","plainCitation":"De Filippi and Wright, supra note 28.","noteIndex":37},"citationItems":[{"id":24,"uris":["http://zotero.org/users/20142566/items/Y8WDYCHT"],"itemData":{"id":24,"type":"book","abstract":"Blockchain technology enables the creation of decentralized currencies, decentralized applications powered by smart contracts, self-executing digital agreements, and intelligent assets that can be controlled over the Internet. Blockchains also enable the development of new governance systems with more democratic or participatory decision-making, and decentralized (autonomous) organizations that can operate over a network of computers without any human intervention. These applications have led many to compare the blockchain to the Internet, with accompanying predictions that this technology will shift the balance of power away from centralized authorities in the field of communications, business, and even politics or law. Blockchain and the Law explores the benefits and drawbacks of this emerging decentralized technology and argues that its widespread deployment will lead to expansion of what we term lex cryptographia: rules administered through self-executing smart contracts.--","call-number":"QA76.9.D32 D44 2018","ISBN":"978-0-674-97642-9","language":"en","number-of-pages":"300","publisher":"Harvard University Press","publisher-place":"Cambridge, Massachusetts","source":"Library of Congress ISBN","title":"Blockchain and the Law: The Rule of Code","title-short":"Blockchain and the law","author":[{"family":"De Filippi","given":"Primavera"},{"family":"Wright","given":"Aaron"}],"issued":{"date-parts":[["2018"]]}}}],"schema":"https://github.com/citation-style-language/schema/raw/master/csl-citation.json"} </w:instrText>
      </w:r>
      <w:r>
        <w:fldChar w:fldCharType="separate"/>
      </w:r>
      <w:r>
        <w:rPr>
          <w:rFonts w:cs="Times New Roman"/>
          <w:smallCaps/>
          <w:kern w:val="0"/>
        </w:rPr>
        <w:t xml:space="preserve"> </w:t>
      </w:r>
      <w:r>
        <w:t>De Filippi &amp; Wright, supra note 28.</w:t>
      </w:r>
      <w:r>
        <w:fldChar w:fldCharType="end"/>
      </w:r>
    </w:p>
  </w:footnote>
  <w:footnote w:id="74">
    <w:p w:rsidR="00C73D62" w:rsidRDefault="00C73D62" w14:paraId="705BE9C2" w14:textId="12C69A2F">
      <w:pPr>
        <w:pStyle w:val="FootnoteText"/>
      </w:pPr>
      <w:r>
        <w:rPr>
          <w:rStyle w:val="FootnoteReference"/>
        </w:rPr>
        <w:footnoteRef/>
      </w:r>
      <w:r>
        <w:fldChar w:fldCharType="begin"/>
      </w:r>
      <w:r>
        <w:instrText xml:space="preserve"> ADDIN ZOTERO_ITEM CSL_CITATION {"citationID":"kSaahRgB","properties":{"formattedCitation":"Nicholas Godfrey &amp; Mark Burdon, {\\i{}Fidelity in Legal Coding: Applying Legal Translation Frameworks to Address Interpretive Challenges}, 33 {\\scaps Inf. Commun. Technol. Law} 153 (2024).","plainCitation":"Nicholas Godfrey &amp; Mark Burdon, Fidelity in Legal Coding: Applying Legal Translation Frameworks to Address Interpretive Challenges, 33 Inf. Commun. Technol. Law 153 (2024).","noteIndex":37},"citationItems":[{"id":13,"uris":["http://zotero.org/users/20142566/items/6KFLAPQ5"],"itemData":{"id":13,"type":"article-journal","abstract":"There is rapidly developing interest in legal coding, the development of machine-consumable code representations of legal rules. However, interpretive ambiguities inherent in legal rules make it challenging to directly translate law into code. Interpretive ambiguities pose challenges for legal coders, who must determine the extent to which they disambiguate rules, as well as the interpretive methods applied. Similar interpretive issues have been historically addressed in the ﬁeld of legal translation. This paper argues that a legal translation framework, known as the principle of ﬁdelity, can be used to better understand and resolve interpretive ambiguities inherent in the legal coding process. Three models of ﬁdelity prominently discussed in legal translation literature are adapted and applied to legal coding. Accordingly, the application of ﬁdelity models to the legal coding process could provide new understanding and methods to address complex interpretive ambiguities.","container-title":"Information &amp; Communications Technology Law","DOI":"10.1080/13600834.2024.2312620","ISSN":"1360-0834, 1469-8404","issue":"2","journalAbbreviation":"Information &amp; Communications Technology Law","language":"en","page":"153-176","source":"DOI.org (Crossref)","title":"Fidelity in Legal Coding: Applying Legal Translation Frameworks to Address Interpretive Challenges","title-short":"Fidelity in legal coding","volume":"33","author":[{"family":"Godfrey","given":"Nicholas"},{"family":"Burdon","given":"Mark"}],"issued":{"date-parts":[["2024",5,3]]}}}],"schema":"https://github.com/citation-style-language/schema/raw/master/csl-citation.json"} </w:instrText>
      </w:r>
      <w:r>
        <w:fldChar w:fldCharType="separate"/>
      </w:r>
      <w:r>
        <w:rPr>
          <w:rFonts w:cs="Times New Roman"/>
          <w:kern w:val="0"/>
        </w:rPr>
        <w:t xml:space="preserve"> </w:t>
      </w:r>
      <w:r>
        <w:t>Nicholas Godfrey &amp; Mark Burdon, Fidelity in Legal Coding: Applying Legal Translation Frameworks to Address Interpretive Challenges</w:t>
      </w:r>
      <w:r>
        <w:rPr>
          <w:rFonts w:cs="Times New Roman"/>
          <w:kern w:val="0"/>
        </w:rPr>
        <w:t>, 33</w:t>
      </w:r>
      <w:r>
        <w:t xml:space="preserve"> Inf. Commun. Technol. Law </w:t>
      </w:r>
      <w:r>
        <w:rPr>
          <w:rFonts w:cs="Times New Roman"/>
          <w:kern w:val="0"/>
        </w:rPr>
        <w:t>153 (2024).</w:t>
      </w:r>
      <w:r>
        <w:fldChar w:fldCharType="end"/>
      </w:r>
    </w:p>
  </w:footnote>
  <w:footnote w:id="75">
    <w:p w:rsidR="003D5A83" w:rsidRDefault="00000000" w14:paraId="4371B195" w14:textId="77777777">
      <w:pPr>
        <w:pStyle w:val="FootnoteText"/>
      </w:pPr>
      <w:r>
        <w:rPr>
          <w:rStyle w:val="FootnoteReference"/>
        </w:rPr>
        <w:footnoteRef/>
      </w:r>
      <w:r>
        <w:t xml:space="preserve"> 这是以太坊所基于的状态转换模型：每个区块的账本状态是其先前状态及其上应用的交易的函数，节点会拒绝任何声称的状态不符合该函数的区块。</w:t>
      </w:r>
      <w:r>
        <w:rPr>
          <w:i/>
          <w:iCs/>
        </w:rPr>
        <w:t xml:space="preserve">参见</w:t>
      </w:r>
      <w:r>
        <w:t xml:space="preserve">加文·伍德，《</w:t>
      </w:r>
      <w:r>
        <w:rPr>
          <w:i/>
          <w:iCs/>
        </w:rPr>
        <w:t xml:space="preserve">以太坊：一个安全的</w:t>
      </w:r>
      <w:r>
        <w:rPr>
          <w:i/>
          <w:iCs/>
        </w:rPr>
        <w:t xml:space="preserve">去中心化</w:t>
      </w:r>
      <w:r>
        <w:rPr>
          <w:i/>
          <w:iCs/>
        </w:rPr>
        <w:t xml:space="preserve">通用</w:t>
      </w:r>
      <w:r>
        <w:rPr>
          <w:i/>
          <w:iCs/>
        </w:rPr>
        <w:t xml:space="preserve">交易账本</w:t>
      </w:r>
      <w:r>
        <w:rPr>
          <w:i/>
          <w:iCs/>
        </w:rPr>
        <w:t xml:space="preserve">》</w:t>
      </w:r>
      <w:r>
        <w:t xml:space="preserve">第2节（黄皮书），https://ethereum.github.io/yellowpaper/paper.pdf。 比特币将每个区块与其前一个区块的哈希值绑定的做法，以更简单的方式实现了同样的自引用机制。</w:t>
      </w:r>
      <w:r>
        <w:t xml:space="preserve">参见中本聪，《比特币：一种点对点电子现金系统》第2–3页（2008年），https://bitcoin.org/bitcoin.pdf。</w:t>
      </w:r>
    </w:p>
  </w:footnote>
  <w:footnote w:id="76">
    <w:p w:rsidR="00494CB8" w:rsidRDefault="00494CB8" w14:paraId="44E827C2" w14:textId="1C2C3C80">
      <w:pPr>
        <w:pStyle w:val="FootnoteText"/>
      </w:pPr>
      <w:r>
        <w:rPr>
          <w:rStyle w:val="FootnoteReference"/>
        </w:rPr>
        <w:footnoteRef/>
      </w:r>
      <w:r>
        <w:fldChar w:fldCharType="begin"/>
      </w:r>
      <w:r w:rsidR="00F7734E">
        <w:instrText xml:space="preserve"> ADDIN ZOTERO_ITEM CSL_CITATION {"citationID":"iXtZY8Rd","properties":{"formattedCitation":"Myra Cheng et al., {\\i{}Sycophantic AI Decreases Prosocial Intentions and Promotes Dependence}, 391 {\\scaps Science} eaec8352 (2026); {\\i{}AI Overly Affirms Users Asking for Personal Advice}, https://news.stanford.edu/stories/2026/03/ai-advice-sycophantic-models-research (last visited Apr. 9, 2026).","plainCitation":"Myra Cheng et al., Sycophantic AI Decreases Prosocial Intentions and Promotes Dependence, 391 Science eaec8352 (2026); AI Overly Affirms Users Asking for Personal Advice, https://news.stanford.edu/stories/2026/03/ai-advice-sycophantic-models-research (last visited Apr. 9, 2026).","noteIndex":36},"citationItems":[{"id":53,"uris":["http://zotero.org/users/20142566/items/9GC59ID8"],"itemData":{"id":53,"type":"article-journal","abstract":"Despite rising concerns about sycophancy—excessive agreement or flattery from artificial intelligence (AI) systems—little is known about its prevalence or consequences. We show that sycophancy is widespread and harmful. Across 11 state-of-the-art models, AI affirmed users’ actions 49% more often than humans, even when queries involved deception, illegality, or other harms. In three preregistered experiments (N = 2405), even a single interaction with sycophantic AI reduced participants’ willingness to take responsibility and repair interpersonal conflicts, while increasing their conviction that they were right. Despite distorting judgment, sycophantic models were trusted and preferred. This creates perverse incentives for sycophancy to persist: The very feature that causes harm also drives engagement. Our findings underscore the need for design, evaluation, and accountability mechanisms to protect user well-being.","container-title":"Science","DOI":"10.1126/science.aec8352","issue":"6792","page":"eaec8352","publisher":"American Association for the Advancement of Science","source":"science.org (Atypon)","title":"Sycophantic AI decreases prosocial intentions and promotes dependence","volume":"391","author":[{"family":"Cheng","given":"Myra"},{"family":"Lee","given":"Cinoo"},{"family":"Khadpe","given":"Pranav"},{"family":"Yu","given":"Sunny"},{"family":"Han","given":"Dyllan"},{"family":"Jurafsky","given":"Dan"}],"issued":{"date-parts":[["2026",3,26]]}}},{"id":76,"uris":["http://zotero.org/users/20142566/items/WMSHHI4A"],"itemData":{"id":76,"type":"webpage","abstract":"Not only are AIs far more agreeable than humans when advising on interpersonal matters, but users also prefer the sycophantic models.","language":"en","title":"AI overly affirms users asking for personal advice","URL":"https://news.stanford.edu/stories/2026/03/ai-advice-sycophantic-models-research","accessed":{"date-parts":[["2026",4,9]]}}}],"schema":"https://github.com/citation-style-language/schema/raw/master/csl-citation.json"} </w:instrText>
      </w:r>
      <w:r>
        <w:fldChar w:fldCharType="separate"/>
      </w:r>
      <w:r>
        <w:rPr>
          <w:rFonts w:cs="Times New Roman"/>
          <w:kern w:val="0"/>
        </w:rPr>
        <w:t xml:space="preserve"> Myra Cheng </w:t>
      </w:r>
      <w:r>
        <w:t>et al., Sycophantic AI Decreases Prosocial Intentions and Promotes Dependence</w:t>
      </w:r>
      <w:r w:rsidRPr="00F7734E" w:rsidR="00F7734E">
        <w:rPr>
          <w:rFonts w:cs="Times New Roman"/>
          <w:kern w:val="0"/>
        </w:rPr>
        <w:t xml:space="preserve">, 391 </w:t>
      </w:r>
      <w:r>
        <w:t xml:space="preserve">Science </w:t>
      </w:r>
      <w:r>
        <w:rPr>
          <w:rFonts w:cs="Times New Roman"/>
          <w:kern w:val="0"/>
        </w:rPr>
        <w:t xml:space="preserve">eaec8352 </w:t>
      </w:r>
      <w:r>
        <w:t>(2026);</w:t>
      </w:r>
      <w:r>
        <w:rPr>
          <w:rFonts w:cs="Times New Roman"/>
          <w:kern w:val="0"/>
        </w:rPr>
        <w:t xml:space="preserve"> </w:t>
      </w:r>
      <w:r>
        <w:rPr>
          <w:rFonts w:cs="Times New Roman"/>
          <w:i/>
          <w:iCs/>
          <w:kern w:val="0"/>
        </w:rPr>
        <w:t>AI</w:t>
      </w:r>
      <w:r>
        <w:t xml:space="preserve"> Overly Affirms Users Asking for Personal Advice, </w:t>
      </w:r>
      <w:r>
        <w:rPr>
          <w:rFonts w:cs="Times New Roman"/>
          <w:kern w:val="0"/>
        </w:rPr>
        <w:t>https://news.stanford.edu/stories/2026/03/ai-advice-sycophantic-models-research（最后访问日期：2026年4月9日）。</w:t>
      </w:r>
      <w:r>
        <w:fldChar w:fldCharType="end"/>
      </w:r>
    </w:p>
  </w:footnote>
  <w:footnote w:id="77">
    <w:p w:rsidRPr="004E3A22" w:rsidR="00CC78AC" w:rsidRDefault="00CC78AC" w14:paraId="2497D1A0" w14:textId="78A70132">
      <w:pPr>
        <w:pStyle w:val="FootnoteText"/>
      </w:pPr>
      <w:r>
        <w:rPr>
          <w:rStyle w:val="FootnoteReference"/>
        </w:rPr>
        <w:footnoteRef/>
      </w:r>
      <w:r>
        <w:fldChar w:fldCharType="begin"/>
      </w:r>
      <w:r w:rsidR="00C04038">
        <w:instrText xml:space="preserve"> ADDIN ZOTERO_ITEM CSL_CITATION {"citationID":"sTSOayjM","properties":{"formattedCitation":"{\\scaps Niklas Luhmann}, {\\scaps Law As A Social System} (2004).","plainCitation":"Niklas Luhmann, Law As A Social System (2004).","noteIndex":37},"citationItems":[{"id":9,"uris":["http://zotero.org/users/20142566/items/WMRD3MSS"],"itemData":{"id":9,"type":"book","DOI":"10.1093/oso/9780198262381.001.0001","ISBN":"978-0-19-826238-1","number-of-pages":"498","publisher":"Oxford University Press","title":"Law As A Social System","author":[{"family":"Luhmann","given":"Niklas"}],"issued":{"date-parts":[["2004"]]}}}],"schema":"https://github.com/citation-style-language/schema/raw/master/csl-citation.json"} </w:instrText>
      </w:r>
      <w:r>
        <w:fldChar w:fldCharType="separate"/>
      </w:r>
      <w:r w:rsidRPr="00CC78AC">
        <w:rPr>
          <w:rFonts w:cs="Times New Roman"/>
          <w:smallCaps/>
          <w:kern w:val="0"/>
          <w:lang w:bidi="yi-Hebr"/>
        </w:rPr>
        <w:t xml:space="preserve"> 尼克拉斯·卢曼</w:t>
      </w:r>
      <w:r w:rsidRPr="00CC78AC">
        <w:rPr>
          <w:rFonts w:cs="Times New Roman"/>
          <w:kern w:val="0"/>
          <w:lang w:bidi="yi-Hebr"/>
        </w:rPr>
        <w:t xml:space="preserve">, </w:t>
      </w:r>
      <w:r w:rsidRPr="00CC78AC">
        <w:rPr>
          <w:rFonts w:cs="Times New Roman"/>
          <w:smallCaps/>
          <w:kern w:val="0"/>
          <w:lang w:bidi="yi-Hebr"/>
        </w:rPr>
        <w:t xml:space="preserve"> 《法律作为社会系统》</w:t>
      </w:r>
      <w:r w:rsidRPr="00CC78AC">
        <w:rPr>
          <w:rFonts w:cs="Times New Roman"/>
          <w:kern w:val="0"/>
          <w:lang w:bidi="yi-Hebr"/>
        </w:rPr>
        <w:t xml:space="preserve"> (2004).</w:t>
      </w:r>
      <w:r>
        <w:fldChar w:fldCharType="end"/>
      </w:r>
    </w:p>
  </w:footnote>
  <w:footnote w:id="78">
    <w:p w:rsidR="003D5A83" w:rsidRDefault="00000000" w14:paraId="7BB687C7" w14:textId="2C46E293">
      <w:pPr>
        <w:pStyle w:val="FootnoteText"/>
      </w:pPr>
      <w:r>
        <w:rPr>
          <w:rStyle w:val="FootnoteReference"/>
        </w:rPr>
        <w:footnoteRef/>
      </w:r>
      <w:r>
        <w:t xml:space="preserve"> </w:t>
      </w:r>
      <w:r>
        <w:rPr>
          <w:smallCaps/>
        </w:rPr>
        <w:t xml:space="preserve">尼克拉斯·卢曼，</w:t>
      </w:r>
      <w:r>
        <w:t xml:space="preserve">《</w:t>
      </w:r>
      <w:r>
        <w:rPr>
          <w:smallCaps/>
        </w:rPr>
        <w:t xml:space="preserve">法律作为社会系统</w:t>
      </w:r>
      <w:r>
        <w:t>》第2、10章（克劳斯·A·齐格特译，法蒂玛·卡斯特纳等编，2004年）（运作性封闭作为认知开放的条件；封闭系统之间的结构耦合）。 技术系统本身是否能在卢曼的意义上具有自</w:t>
      </w:r>
      <w:r>
        <w:t>创生</w:t>
      </w:r>
      <w:r>
        <w:t>性尚有争议，且本文的论述并不依赖于此；该主张属于功能性而非本体论层面的。</w:t>
      </w:r>
      <w:r>
        <w:rPr>
          <w:i/>
          <w:iCs/>
        </w:rPr>
        <w:t xml:space="preserve">参</w:t>
      </w:r>
      <w:r>
        <w:rPr>
          <w:smallCaps/>
        </w:rPr>
        <w:t xml:space="preserve">见埃琳娜·埃斯波西托，《人工沟通：算法如何产生社会智能</w:t>
      </w:r>
      <w:r>
        <w:t xml:space="preserve">》（2022年）（算法在不理解沟通的情况下参与其中），</w:t>
      </w:r>
      <w:r>
        <w:rPr>
          <w:i/>
          <w:iCs/>
        </w:rPr>
        <w:t xml:space="preserve">并与</w:t>
      </w:r>
      <w:r>
        <w:rPr>
          <w:i/>
          <w:iCs/>
        </w:rPr>
        <w:t xml:space="preserve">下文</w:t>
      </w:r>
      <w:r>
        <w:t xml:space="preserve">第五</w:t>
      </w:r>
      <w:r>
        <w:t xml:space="preserve">部分</w:t>
      </w:r>
      <w:r>
        <w:t xml:space="preserve">第四小节</w:t>
      </w:r>
      <w:r>
        <w:t>中引用的关于生成式人工智能与自</w:t>
      </w:r>
      <w:r>
        <w:t>创生</w:t>
      </w:r>
      <w:r>
        <w:t>性的文献</w:t>
      </w:r>
      <w:r>
        <w:rPr>
          <w:i/>
          <w:iCs/>
        </w:rPr>
        <w:t xml:space="preserve">进行对比</w:t>
      </w:r>
      <w:r>
        <w:t xml:space="preserve">。</w:t>
      </w:r>
    </w:p>
  </w:footnote>
  <w:footnote w:id="79">
    <w:p w:rsidRPr="004E3A22" w:rsidR="00F95301" w:rsidRDefault="00F95301" w14:paraId="4D4035FD" w14:textId="442251D3">
      <w:pPr>
        <w:pStyle w:val="FootnoteText"/>
      </w:pPr>
      <w:r>
        <w:rPr>
          <w:rStyle w:val="FootnoteReference"/>
        </w:rPr>
        <w:footnoteRef/>
      </w:r>
      <w:r>
        <w:fldChar w:fldCharType="begin"/>
      </w:r>
      <w:r w:rsidR="00C04038">
        <w:instrText xml:space="preserve"> ADDIN ZOTERO_ITEM CSL_CITATION {"citationID":"AAd56yEu","properties":{"formattedCitation":"Backer, {\\i{}supra} note 11.","plainCitation":"Backer, supra note 11.","noteIndex":38},"citationItems":[{"id":52,"uris":["http://zotero.org/users/20142566/items/TMJVLP43"],"itemData":{"id":52,"type":"article-journal","container-title":"International Journal for the Semiotics of Law - Revue internationale de Sémiotique juridique","DOI":"10.1007/s11196-023-10065-4","ISSN":"0952-8059, 1572-8722","issue":"3","journalAbbreviation":"Int J Semiot Law","language":"en","page":"969-1083","source":"DOI.org (Crossref)","title":"The Soulful Machine, the Virtual Person, and the “Human” Condition: An Encounter with Jan M. Broekman, Knowledge in Change: The Semiotics of Cognition and Conversion (Cham, Switzerland: Springer Nature, 2023)","title-short":"The Soulful Machine, the Virtual Person, and the “Human” Condition","volume":"37","author":[{"family":"Backer","given":"Larry Catá"}],"issued":{"date-parts":[["2024",5]]}}}],"schema":"https://github.com/citation-style-language/schema/raw/master/csl-citation.json"} </w:instrText>
      </w:r>
      <w:r>
        <w:fldChar w:fldCharType="separate"/>
      </w:r>
      <w:r>
        <w:rPr>
          <w:rFonts w:cs="Times New Roman"/>
          <w:kern w:val="0"/>
          <w:lang w:bidi="yi-Hebr"/>
        </w:rPr>
        <w:t xml:space="preserve"> </w:t>
      </w:r>
      <w:r>
        <w:t>Backer, supra note 11.</w:t>
      </w:r>
      <w:r>
        <w:fldChar w:fldCharType="end"/>
      </w:r>
    </w:p>
  </w:footnote>
  <w:footnote w:id="80">
    <w:p w:rsidR="00503C57" w:rsidRDefault="00503C57" w14:paraId="002465B2" w14:textId="7EDC59A7">
      <w:pPr>
        <w:pStyle w:val="FootnoteText"/>
      </w:pPr>
      <w:r>
        <w:rPr>
          <w:rStyle w:val="FootnoteReference"/>
        </w:rPr>
        <w:footnoteRef/>
      </w:r>
      <w:r>
        <w:fldChar w:fldCharType="begin"/>
      </w:r>
      <w:r w:rsidR="00C04038">
        <w:instrText xml:space="preserve"> ADDIN ZOTERO_ITEM CSL_CITATION {"citationID":"oFJ7JwDU","properties":{"formattedCitation":"{\\scaps Jean Baudrillard}, {\\scaps Simulacra and Simulation} (1994).","plainCitation":"Jean Baudrillard, Simulacra and Simulation (1994).","noteIndex":39},"citationItems":[{"id":54,"uris":["http://zotero.org/users/20142566/items/NTM5TTBN"],"itemData":{"id":54,"type":"book","call-number":"BD236 .B3813 1994","collection-title":"The Body, in theory","ISBN":"978-0-472-09521-6","language":"eng","number-of-pages":"164","publisher":"University of Michigan Press","publisher-place":"Ann Arbor","source":"Library of Congress ISBN","title":"Simulacra and Simulation","author":[{"family":"Baudrillard","given":"Jean"}],"issued":{"date-parts":[["1994"]]}}}],"schema":"https://github.com/citation-style-language/schema/raw/master/csl-citation.json"} </w:instrText>
      </w:r>
      <w:r>
        <w:fldChar w:fldCharType="separate"/>
      </w:r>
      <w:r w:rsidRPr="00503C57">
        <w:rPr>
          <w:rFonts w:cs="Times New Roman"/>
          <w:smallCaps/>
          <w:kern w:val="0"/>
          <w:lang w:bidi="yi-Hebr"/>
        </w:rPr>
        <w:t xml:space="preserve"> 让·鲍德里亚</w:t>
      </w:r>
      <w:r w:rsidRPr="00503C57">
        <w:rPr>
          <w:rFonts w:cs="Times New Roman"/>
          <w:kern w:val="0"/>
          <w:lang w:bidi="yi-Hebr"/>
        </w:rPr>
        <w:t xml:space="preserve">, </w:t>
      </w:r>
      <w:r w:rsidRPr="00503C57">
        <w:rPr>
          <w:rFonts w:cs="Times New Roman"/>
          <w:smallCaps/>
          <w:kern w:val="0"/>
          <w:lang w:bidi="yi-Hebr"/>
        </w:rPr>
        <w:t xml:space="preserve"> 《拟像与模拟》</w:t>
      </w:r>
      <w:r w:rsidRPr="00503C57">
        <w:rPr>
          <w:rFonts w:cs="Times New Roman"/>
          <w:kern w:val="0"/>
          <w:lang w:bidi="yi-Hebr"/>
        </w:rPr>
        <w:t xml:space="preserve"> (1994).</w:t>
      </w:r>
      <w:r>
        <w:fldChar w:fldCharType="end"/>
      </w:r>
    </w:p>
  </w:footnote>
  <w:footnote w:id="81">
    <w:p w:rsidR="003D5A83" w:rsidRDefault="00000000" w14:paraId="2483D7A7" w14:textId="77777777">
      <w:pPr>
        <w:pStyle w:val="FootnoteText"/>
      </w:pPr>
      <w:r>
        <w:rPr>
          <w:rStyle w:val="FootnoteReference"/>
        </w:rPr>
        <w:footnoteRef/>
      </w:r>
      <w:r>
        <w:t xml:space="preserve"> 从技术角度更精细的模型至少应区分以下要素：源代码；中间表示形式和虚拟机字节码；执行该字节码且自身被编译为本机代码的节点客户端软件；处理器的指令集架构；微架构（在许多现代处理器中，微架构会在执行指令前将其解码为内部微操作）；以及芯片的物理逻辑。 </w:t>
      </w:r>
      <w:r>
        <w:rPr>
          <w:i/>
          <w:iCs/>
        </w:rPr>
        <w:t xml:space="preserve">参见</w:t>
      </w:r>
      <w:r>
        <w:rPr>
          <w:smallCaps/>
        </w:rPr>
        <w:t xml:space="preserve">约翰·L·亨尼西与大卫·A·帕特森合著的《计算机体系结构：定量方法</w:t>
      </w:r>
      <w:r>
        <w:t xml:space="preserve">》（第6版，2017年）。每一层进一步的划分都标志着一次新的转换，因此反而强化了本部分的论点，而非削弱它。</w:t>
      </w:r>
    </w:p>
  </w:footnote>
  <w:footnote w:id="82">
    <w:p w:rsidRPr="00897E96" w:rsidR="00897E96" w:rsidRDefault="00897E96" w14:paraId="3E2A73E5" w14:textId="58247114">
      <w:pPr>
        <w:pStyle w:val="FootnoteText"/>
      </w:pPr>
      <w:r>
        <w:rPr>
          <w:rStyle w:val="FootnoteReference"/>
        </w:rPr>
        <w:footnoteRef/>
      </w:r>
      <w:r>
        <w:t xml:space="preserve"> 参见，例如，</w:t>
      </w:r>
      <w:r w:rsidRPr="00897E96">
        <w:t xml:space="preserve">皮埃尔·罗桑瓦隆，</w:t>
      </w:r>
      <w:r w:rsidRPr="00897E96">
        <w:rPr>
          <w:i/>
          <w:iCs/>
        </w:rPr>
        <w:t xml:space="preserve">《平等社会</w:t>
      </w:r>
      <w:r w:rsidRPr="00897E96">
        <w:t xml:space="preserve">》（亚瑟·戈德哈默译，2013年）</w:t>
      </w:r>
      <w:r>
        <w:t xml:space="preserve">；</w:t>
      </w:r>
      <w:r w:rsidRPr="00897E96">
        <w:t xml:space="preserve">彼得·韦斯滕，</w:t>
      </w:r>
      <w:r w:rsidRPr="00897E96">
        <w:rPr>
          <w:i/>
          <w:iCs/>
        </w:rPr>
        <w:t xml:space="preserve">《平等的空洞理念》</w:t>
      </w:r>
      <w:r w:rsidRPr="00897E96">
        <w:t xml:space="preserve">，</w:t>
      </w:r>
      <w:r w:rsidRPr="00897E96">
        <w:rPr>
          <w:smallCaps/>
        </w:rPr>
        <w:t xml:space="preserve">《哈佛法律评论》</w:t>
      </w:r>
      <w:r w:rsidRPr="00897E96">
        <w:t xml:space="preserve">第95卷</w:t>
      </w:r>
      <w:r w:rsidRPr="00897E96">
        <w:t xml:space="preserve">第537页（1982年）</w:t>
      </w:r>
      <w:r>
        <w:t xml:space="preserve">。</w:t>
      </w:r>
    </w:p>
  </w:footnote>
  <w:footnote w:id="83">
    <w:p w:rsidRPr="004E3A22" w:rsidR="00C11648" w:rsidRDefault="00C11648" w14:paraId="512AEDE5" w14:textId="5FBDD0B3">
      <w:pPr>
        <w:pStyle w:val="FootnoteText"/>
      </w:pPr>
      <w:r>
        <w:rPr>
          <w:rStyle w:val="FootnoteReference"/>
        </w:rPr>
        <w:footnoteRef/>
      </w:r>
      <w:r>
        <w:fldChar w:fldCharType="begin"/>
      </w:r>
      <w:r w:rsidR="003F6FF0">
        <w:instrText xml:space="preserve"> ADDIN ZOTERO_ITEM CSL_CITATION {"citationID":"mXTcFdnq","properties":{"formattedCitation":"{\\scaps Lawrence Lessig}, {\\scaps Code: Version 2.0} (2nd ed. ed. 2006).","plainCitation":"Lawrence Lessig, Code: Version 2.0 (2nd ed. ed. 2006).","noteIndex":43},"citationItems":[{"id":15,"uris":["http://zotero.org/users/20142566/items/YVZPWECU"],"itemData":{"id":15,"type":"book","call-number":"343.099 44","edition":"2nd ed.","ISBN":"978-0-465-03914-2","language":"en","publisher":"Basic books","publisher-place":"New York","source":"BnF ISBN","title":"Code: Version 2.0","title-short":"Code","author":[{"family":"Lessig","given":"Lawrence"}],"issued":{"date-parts":[["2006"]]}}}],"schema":"https://github.com/citation-style-language/schema/raw/master/csl-citation.json"} </w:instrText>
      </w:r>
      <w:r>
        <w:fldChar w:fldCharType="separate"/>
      </w:r>
      <w:r>
        <w:rPr>
          <w:rFonts w:cs="Times New Roman"/>
          <w:smallCaps/>
          <w:kern w:val="0"/>
          <w:lang w:bidi="yi-Hebr"/>
        </w:rPr>
        <w:t xml:space="preserve"> </w:t>
      </w:r>
      <w:r>
        <w:rPr>
          <w:rFonts w:cs="Times New Roman"/>
          <w:smallCaps/>
          <w:kern w:val="0"/>
          <w:lang w:bidi="yi-Hebr"/>
        </w:rPr>
        <w:t>Lawrence Lessig</w:t>
      </w:r>
      <w:r>
        <w:rPr>
          <w:rFonts w:cs="Times New Roman"/>
          <w:kern w:val="0"/>
          <w:lang w:bidi="yi-Hebr"/>
        </w:rPr>
        <w:t>,</w:t>
      </w:r>
      <w:r>
        <w:t xml:space="preserve"> Code: Version 2.0 (2d ed. 2006).</w:t>
      </w:r>
      <w:r>
        <w:fldChar w:fldCharType="end"/>
      </w:r>
    </w:p>
  </w:footnote>
  <w:footnote w:id="84">
    <w:p w:rsidR="005313AC" w:rsidRDefault="005313AC" w14:paraId="78C08379" w14:textId="35024DC6">
      <w:pPr>
        <w:pStyle w:val="FootnoteText"/>
      </w:pPr>
      <w:r>
        <w:rPr>
          <w:rStyle w:val="FootnoteReference"/>
        </w:rPr>
        <w:footnoteRef/>
      </w:r>
      <w:r>
        <w:fldChar w:fldCharType="begin"/>
      </w:r>
      <w:r w:rsidR="00C04038">
        <w:instrText xml:space="preserve"> ADDIN ZOTERO_ITEM CSL_CITATION {"citationID":"CZAkxcTu","properties":{"formattedCitation":"Mireille Hildebrandt, {\\i{}Code-Driven Law: Freezing the Future and Scaling the Past} (2020), http://www.bloomsburycollections.com/book/is-law-computable-critical-perspectives-on-law-and-artificial-intelligence.","plainCitation":"Mireille Hildebrandt, Code-Driven Law: Freezing the Future and Scaling the Past (2020), http://www.bloomsburycollections.com/book/is-law-computable-critical-perspectives-on-law-and-artificial-intelligence.","noteIndex":41},"citationItems":[{"id":11,"uris":["http://zotero.org/users/20142566/items/32TPSYMK"],"itemData":{"id":11,"type":"article-journal","DOI":"10.5040/9781509937097","language":"en","publisher":"Hart Publishing","source":"DOI.org (Crossref)","title":"Code-driven Law: Freezing the Future and Scaling the Past","title-short":"Is Law Computable?","URL":"http://www.bloomsburycollections.com/book/is-law-computable-critical-perspectives-on-law-and-artificial-intelligence","editor":[{"family":"Deakin","given":"Simon"},{"family":"Markou","given":"Christopher"}],"author":[{"family":"Hildebrandt","given":"Mireille"}],"accessed":{"date-parts":[["2026",4,3]]},"issued":{"date-parts":[["2020"]]}}}],"schema":"https://github.com/citation-style-language/schema/raw/master/csl-citation.json"} </w:instrText>
      </w:r>
      <w:r>
        <w:fldChar w:fldCharType="separate"/>
      </w:r>
      <w:r w:rsidRPr="005313AC">
        <w:rPr>
          <w:rFonts w:cs="Times New Roman"/>
          <w:kern w:val="0"/>
          <w:lang w:bidi="yi-Hebr"/>
        </w:rPr>
        <w:t xml:space="preserve"> 米雷耶·希尔德布兰特，《</w:t>
      </w:r>
      <w:r w:rsidRPr="005313AC">
        <w:rPr>
          <w:rFonts w:cs="Times New Roman"/>
          <w:i/>
          <w:iCs/>
          <w:kern w:val="0"/>
          <w:lang w:bidi="yi-Hebr"/>
        </w:rPr>
        <w:t xml:space="preserve">代码驱动的法律：冻结未来与扩展过去</w:t>
      </w:r>
      <w:r w:rsidRPr="005313AC">
        <w:rPr>
          <w:rFonts w:cs="Times New Roman"/>
          <w:kern w:val="0"/>
          <w:lang w:bidi="yi-Hebr"/>
        </w:rPr>
        <w:t xml:space="preserve">》（2020年），http://www.bloomsburycollections.com/book/is-law-computable-critical-perspectives-on-law-and-artificial-intelligence。</w:t>
      </w:r>
      <w:r>
        <w:fldChar w:fldCharType="end"/>
      </w:r>
    </w:p>
  </w:footnote>
  <w:footnote w:id="85">
    <w:p w:rsidRPr="00C86A00" w:rsidR="00C86A00" w:rsidRDefault="00C86A00" w14:paraId="6633B58B" w14:textId="2DA58941">
      <w:pPr>
        <w:pStyle w:val="FootnoteText"/>
      </w:pPr>
      <w:r>
        <w:rPr>
          <w:rStyle w:val="FootnoteReference"/>
        </w:rPr>
        <w:footnoteRef/>
      </w:r>
      <w:r>
        <w:t xml:space="preserve"> 参见：</w:t>
      </w:r>
      <w:r w:rsidRPr="00C86A00">
        <w:t xml:space="preserve">海伦·尼森鲍姆，《</w:t>
      </w:r>
      <w:r w:rsidRPr="00C86A00">
        <w:rPr>
          <w:i/>
          <w:iCs/>
        </w:rPr>
        <w:t xml:space="preserve">技术设计中的价值观</w:t>
      </w:r>
      <w:r w:rsidRPr="00C86A00">
        <w:t xml:space="preserve">》，载于</w:t>
      </w:r>
      <w:r w:rsidRPr="00C86A00">
        <w:rPr>
          <w:smallCaps/>
        </w:rPr>
        <w:t xml:space="preserve">《科学、技术与伦理百科全书》</w:t>
      </w:r>
      <w:r w:rsidRPr="00C86A00">
        <w:t xml:space="preserve">第 lxvi、lxviii–lxix 页（卡尔·米查姆主编，麦克米伦参考书美国公司 2005 年）</w:t>
      </w:r>
      <w:r>
        <w:t xml:space="preserve">。</w:t>
      </w:r>
    </w:p>
  </w:footnote>
  <w:footnote w:id="86">
    <w:p w:rsidRPr="00C86A00" w:rsidR="00C86A00" w:rsidP="00C86A00" w:rsidRDefault="00C86A00" w14:paraId="145AF99B" w14:textId="6DF88386">
      <w:pPr>
        <w:pStyle w:val="FootnoteText"/>
      </w:pPr>
      <w:r>
        <w:rPr>
          <w:rStyle w:val="FootnoteReference"/>
        </w:rPr>
        <w:footnoteRef/>
      </w:r>
      <w:r>
        <w:t xml:space="preserve"> </w:t>
      </w:r>
      <w:r w:rsidRPr="00C86A00">
        <w:t xml:space="preserve">参见</w:t>
      </w:r>
      <w:r>
        <w:t xml:space="preserve">，例如</w:t>
      </w:r>
      <w:r w:rsidRPr="00C86A00">
        <w:rPr>
          <w:smallCaps/>
        </w:rPr>
        <w:t xml:space="preserve">，娜塔莉·A·斯穆哈，《基于法律的算法统治：公共部门的算法监管如何侵蚀法治》</w:t>
      </w:r>
      <w:r>
        <w:t xml:space="preserve">，第151、205–29页（剑桥大学出版社，2024年）</w:t>
      </w:r>
      <w:r>
        <w:t xml:space="preserve">。 此处的论点可理解为：</w:t>
      </w:r>
      <w:r>
        <w:t xml:space="preserve">平等和合理性等法律概念可以体现在数学计算中，并被编程到算法系统中</w:t>
      </w:r>
      <w:r>
        <w:t xml:space="preserve">。这些概念并不一定被统一理解。</w:t>
      </w:r>
      <w:r>
        <w:t xml:space="preserve">对其的解释和编纂体现了规范性选择。</w:t>
      </w:r>
      <w:r>
        <w:t xml:space="preserve">法律规则解释中所涉及的裁量权，向上游转移到了负责将这些规则转化并付诸实施的程序员身上</w:t>
      </w:r>
      <w:r>
        <w:t xml:space="preserve">。同上，</w:t>
      </w:r>
      <w:r w:rsidRPr="00C86A00">
        <w:t xml:space="preserve">第4章，第4.2.1–4.2.2节</w:t>
      </w:r>
      <w:r>
        <w:t xml:space="preserve">。</w:t>
      </w:r>
    </w:p>
  </w:footnote>
  <w:footnote w:id="87">
    <w:p w:rsidRPr="00C86A00" w:rsidR="00C86A00" w:rsidP="00C86A00" w:rsidRDefault="00C86A00" w14:paraId="02DDFEA4" w14:textId="4A16DC35">
      <w:pPr>
        <w:pStyle w:val="FootnoteText"/>
      </w:pPr>
      <w:r>
        <w:rPr>
          <w:rStyle w:val="FootnoteReference"/>
        </w:rPr>
        <w:footnoteRef/>
      </w:r>
      <w:r>
        <w:t xml:space="preserve"> 参见，例如，马尔科·阿尔马达，《设计监管与技术未来的治理》，</w:t>
      </w:r>
      <w:r>
        <w:t xml:space="preserve">《</w:t>
      </w:r>
      <w:r>
        <w:t xml:space="preserve">欧洲风险</w:t>
      </w:r>
      <w:r>
        <w:t xml:space="preserve">监管</w:t>
      </w:r>
      <w:r>
        <w:t xml:space="preserve">杂志</w:t>
      </w:r>
      <w:r>
        <w:t xml:space="preserve">》</w:t>
      </w:r>
      <w:r>
        <w:t xml:space="preserve">第14卷</w:t>
      </w:r>
      <w:r>
        <w:t xml:space="preserve">，第697页，第697–702页（2023年），</w:t>
      </w:r>
      <w:hyperlink w:history="1" r:id="rId1">
        <w:r>
          <w:rPr>
            <w:rStyle w:val="Hyperlink"/>
          </w:rPr>
          <w:t xml:space="preserve">https://doi.org/10.1017/err.2023.37</w:t>
        </w:r>
      </w:hyperlink>
      <w:r>
        <w:t xml:space="preserve">；</w:t>
      </w:r>
      <w:r>
        <w:t xml:space="preserve">奥利弗·R·古德诺与普雷斯顿·J·卡尔森，《先有文字还是先有代码？ 对于简化复杂性的法律自动化而言，传统文档还是代码语句是更好的起点？》，《皇家学会哲学汇刊A》第382卷，20230160（2024年），</w:t>
      </w:r>
      <w:hyperlink w:history="1" r:id="rId2">
        <w:r>
          <w:rPr>
            <w:rStyle w:val="Hyperlink"/>
          </w:rPr>
          <w:t xml:space="preserve">https://doi.org/10.1098/rsta.2023.0160</w:t>
        </w:r>
      </w:hyperlink>
      <w:r>
        <w:t xml:space="preserve">。 </w:t>
      </w:r>
    </w:p>
  </w:footnote>
  <w:footnote w:id="88">
    <w:p w:rsidR="008207E4" w:rsidRDefault="008207E4" w14:paraId="478C74A1" w14:textId="73F18D7F">
      <w:pPr>
        <w:pStyle w:val="FootnoteText"/>
      </w:pPr>
      <w:r>
        <w:rPr>
          <w:rStyle w:val="FootnoteReference"/>
        </w:rPr>
        <w:footnoteRef/>
      </w:r>
      <w:r>
        <w:fldChar w:fldCharType="begin"/>
      </w:r>
      <w:r>
        <w:instrText xml:space="preserve"> ADDIN ZOTERO_ITEM CSL_CITATION {"citationID":"bdpyK0f8","properties":{"formattedCitation":"Danielle Keats Citron, {\\i{}Technological Due Process}, 85 {\\scaps Wash. Univ. Law Rev.} 1249 (2008).","plainCitation":"Danielle Keats Citron, Technological Due Process, 85 Wash. Univ. Law Rev. 1249 (2008).","noteIndex":42},"citationItems":[{"id":1,"uris":["http://zotero.org/users/20142566/items/V2N82G9G"],"itemData":{"id":1,"type":"article-journal","abstract":"Distinct and complementary procedures for adjudication and rulemaking lie at the heart of twentieth-century administrative law. Due process requires agencies to provide individuals notice and an opportunity to be heard. Through public rulemaking, agencies can foreclose policy issues that individuals might otherwise raise in adjudication. One system allows for focused advocacy; the other features broad participation. Each procedural regime compensates for the normative limits of the other. Both depend on clear statements of reason.","container-title":"Washington University Law Review","language":"en","page":"1249","source":"Zotero","title":"Technological Due Process","volume":"85","author":[{"family":"Citron","given":"Danielle Keats"}],"issued":{"date-parts":[["2008"]]}}}],"schema":"https://github.com/citation-style-language/schema/raw/master/csl-citation.json"} </w:instrText>
      </w:r>
      <w:r>
        <w:fldChar w:fldCharType="separate"/>
      </w:r>
      <w:r>
        <w:rPr>
          <w:rFonts w:cs="Times New Roman"/>
          <w:kern w:val="0"/>
        </w:rPr>
        <w:t xml:space="preserve"> </w:t>
      </w:r>
      <w:r>
        <w:t>Danielle Keats Citron, Technological Due Process</w:t>
      </w:r>
      <w:r>
        <w:rPr>
          <w:rFonts w:cs="Times New Roman"/>
          <w:kern w:val="0"/>
        </w:rPr>
        <w:t>, 85</w:t>
      </w:r>
      <w:r>
        <w:t xml:space="preserve"> Wash. Univ. L. Rev. </w:t>
      </w:r>
      <w:r>
        <w:rPr>
          <w:rFonts w:cs="Times New Roman"/>
          <w:kern w:val="0"/>
        </w:rPr>
        <w:t>1249 (2008).</w:t>
      </w:r>
      <w:r>
        <w:fldChar w:fldCharType="end"/>
      </w:r>
    </w:p>
  </w:footnote>
  <w:footnote w:id="89">
    <w:p w:rsidRPr="00C86A00" w:rsidR="00C86A00" w:rsidRDefault="00C86A00" w14:paraId="7D67452A" w14:textId="0E2CB467">
      <w:pPr>
        <w:pStyle w:val="FootnoteText"/>
      </w:pPr>
      <w:r>
        <w:rPr>
          <w:rStyle w:val="FootnoteReference"/>
        </w:rPr>
        <w:footnoteRef/>
      </w:r>
      <w:r>
        <w:t xml:space="preserve"> 参见：</w:t>
      </w:r>
      <w:r>
        <w:t xml:space="preserve">詹姆斯·格里梅尔曼，</w:t>
      </w:r>
      <w:r w:rsidRPr="00C86A00">
        <w:rPr>
          <w:i/>
          <w:iCs/>
        </w:rPr>
        <w:t xml:space="preserve">《软件监管</w:t>
      </w:r>
      <w:r>
        <w:t xml:space="preserve">》</w:t>
      </w:r>
      <w:r>
        <w:t xml:space="preserve">，</w:t>
      </w:r>
      <w:r>
        <w:t xml:space="preserve">《</w:t>
      </w:r>
      <w:r w:rsidRPr="00C86A00">
        <w:rPr>
          <w:smallCaps/>
        </w:rPr>
        <w:t xml:space="preserve">北卡罗来纳法律评论</w:t>
      </w:r>
      <w:r>
        <w:t xml:space="preserve">》</w:t>
      </w:r>
      <w:r>
        <w:t xml:space="preserve">第96卷</w:t>
      </w:r>
      <w:r>
        <w:t xml:space="preserve">，第171、177–83页（2017年）</w:t>
      </w:r>
      <w:r>
        <w:t xml:space="preserve">。总体参见：</w:t>
      </w:r>
      <w:r w:rsidRPr="00C86A00">
        <w:rPr>
          <w:smallCaps/>
        </w:rPr>
        <w:t xml:space="preserve">米雷耶·希尔德布兰特，《计算机科学家及其他人士的法律》</w:t>
      </w:r>
      <w:r>
        <w:t xml:space="preserve">（牛津大学出版社，2020年）。</w:t>
      </w:r>
    </w:p>
  </w:footnote>
  <w:footnote w:id="90">
    <w:p w:rsidRPr="00897E96" w:rsidR="00897E96" w:rsidRDefault="00897E96" w14:paraId="34C091B9" w14:textId="4E3ACDAF">
      <w:pPr>
        <w:pStyle w:val="FootnoteText"/>
      </w:pPr>
      <w:r>
        <w:rPr>
          <w:rStyle w:val="FootnoteReference"/>
        </w:rPr>
        <w:footnoteRef/>
      </w:r>
      <w:r>
        <w:t xml:space="preserve"> 参</w:t>
      </w:r>
      <w:r>
        <w:t xml:space="preserve">见珍娜·伯雷尔，</w:t>
      </w:r>
      <w:r>
        <w:rPr>
          <w:rStyle w:val="Emphasis"/>
        </w:rPr>
        <w:t xml:space="preserve">《机器如何“思考”：理解机器学习算法中的不透明性》</w:t>
      </w:r>
      <w:r>
        <w:t xml:space="preserve">，</w:t>
      </w:r>
      <w:r w:rsidRPr="00897E96">
        <w:rPr>
          <w:smallCaps/>
        </w:rPr>
        <w:t xml:space="preserve">《大数据与社会》</w:t>
      </w:r>
      <w:r>
        <w:t xml:space="preserve">第3卷第1期，2016年，第1页， </w:t>
      </w:r>
      <w:hyperlink w:history="1" r:id="rId3">
        <w:r>
          <w:rPr>
            <w:rStyle w:val="Hyperlink"/>
          </w:rPr>
          <w:t xml:space="preserve">https://doi.org/10.1177/2053951715622512</w:t>
        </w:r>
      </w:hyperlink>
      <w:r>
        <w:t xml:space="preserve">（</w:t>
      </w:r>
      <w:r>
        <w:t xml:space="preserve">伯雷尔区分了三种不透明性形式，其中第三种源于机器学习算法的特性及其应用所需的规模</w:t>
      </w:r>
      <w:r>
        <w:t xml:space="preserve">）； </w:t>
      </w:r>
      <w:r w:rsidRPr="00897E96">
        <w:rPr>
          <w:smallCaps/>
        </w:rPr>
        <w:t xml:space="preserve">马克·C·马里诺，《批判性代码研究》</w:t>
      </w:r>
      <w:r w:rsidRPr="00897E96">
        <w:t xml:space="preserve">（2020年</w:t>
      </w:r>
      <w:r>
        <w:t xml:space="preserve">）（</w:t>
      </w:r>
      <w:r w:rsidRPr="00897E96">
        <w:t xml:space="preserve">马里诺认为，代码的意义不仅在于其功能，还必须对其所蕴含的意义进行批判性解读</w:t>
      </w:r>
      <w:r>
        <w:t xml:space="preserve">）。</w:t>
      </w:r>
    </w:p>
  </w:footnote>
  <w:footnote w:id="91">
    <w:p w:rsidR="004817E5" w:rsidRDefault="00000000" w14:paraId="2766A0DB"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但参见扎克里·C·利普顿，</w:t>
      </w:r>
      <w:r>
        <w:rPr>
          <w:rFonts w:ascii="Times New Roman" w:hAnsi="Times New Roman" w:cs="Times New Roman"/>
          <w:i/>
          <w:iCs/>
        </w:rPr>
        <w:t xml:space="preserve">《模型可解释性的神话：在机器学习中，可解释性这一概念既重要又难以捉摸》</w:t>
      </w:r>
      <w:r>
        <w:rPr>
          <w:rFonts w:ascii="Times New Roman" w:hAnsi="Times New Roman" w:cs="Times New Roman"/>
        </w:rPr>
        <w:t xml:space="preserve">，</w:t>
      </w:r>
      <w:r>
        <w:rPr>
          <w:rFonts w:ascii="Times New Roman" w:hAnsi="Times New Roman" w:cs="Times New Roman"/>
          <w:smallCaps/>
        </w:rPr>
        <w:t xml:space="preserve">《Queue</w:t>
      </w:r>
      <w:r>
        <w:rPr>
          <w:rFonts w:ascii="Times New Roman" w:hAnsi="Times New Roman" w:cs="Times New Roman"/>
        </w:rPr>
        <w:t xml:space="preserve">》第16卷第3期</w:t>
      </w:r>
      <w:r>
        <w:rPr>
          <w:rFonts w:ascii="Times New Roman" w:hAnsi="Times New Roman" w:cs="Times New Roman"/>
        </w:rPr>
        <w:t xml:space="preserve">，第31–57页（2018年）；可访问 https://doi.org/10.1145/3236386.3241340。</w:t>
      </w:r>
    </w:p>
  </w:footnote>
  <w:footnote w:id="92">
    <w:p w:rsidR="005B285B" w:rsidRDefault="005B285B" w14:paraId="2E79D4C8" w14:textId="131B5BD0">
      <w:pPr>
        <w:pStyle w:val="FootnoteText"/>
      </w:pPr>
      <w:r>
        <w:rPr>
          <w:rStyle w:val="FootnoteReference"/>
        </w:rPr>
        <w:footnoteRef/>
      </w:r>
      <w:r>
        <w:fldChar w:fldCharType="begin"/>
      </w:r>
      <w:r w:rsidR="005477FE">
        <w:instrText xml:space="preserve"> ADDIN ZOTERO_ITEM CSL_CITATION {"citationID":"t7ivH6Eg","properties":{"formattedCitation":"Vitalik Buterin, {\\i{}Ethereum: A Next-Generation Smart Contract and Decentralized Application Platform} (2019); Gavin Wood, {\\i{}Ethereum: A Secure Decentralised Generalised Transaction Ledger} (2025), https://www.example.com/ethereum-a-secure-decentralized-generalised-transaction-ledger.","plainCitation":"Vitalik Buterin, Ethereum: A Next-Generation Smart Contract and Decentralized Application Platform (2019); Gavin Wood, Ethereum: A Secure Decentralised Generalised Transaction Ledger (2025), https://www.example.com/ethereum-a-secure-decentralized-generalised-transaction-ledger.","noteIndex":45},"citationItems":[{"id":14,"uris":["http://zotero.org/users/20142566/items/D2W2SWLI"],"itemData":{"id":14,"type":"article-journal","abstract":"This book is a meditation on the future of law and legal institutions in the networked information age. Its central claims are that as our political economy transforms, our legal institutions too are undergoing transformation, and the two sets of processes are inextricably related.","language":"en","publisher":"Oxford University Press","publisher-place":"New York, NY","source":"Zotero","title":"Ethereum: A Next-Generation Smart Contract and Decentralized Application Platform","author":[{"family":"Buterin","given":"Vitalik"}],"issued":{"date-parts":[["2019",7]]}}},{"id":8,"uris":["http://zotero.org/users/20142566/items/664SGRRS"],"itemData":{"id":8,"type":"article-journal","abstract":"The blockchain paradigm when coupled with cryptographically-secured transactions has demonstrated its utility through a number of projects, with Bitcoin being one of the most notable ones. Each such project can be seen as a simple application on a decentralised, but singleton, compute resource. We can call this paradigm a transactional singleton machine with shared-state.","language":"en","source":"Zotero","title":"Ethereum: A Secure Decentralised Generalised Transaction Ledger","URL":"https://www.example.com/ethereum-a-secure-decentralized-generalised-transaction-ledger","author":[{"family":"Wood","given":"Gavin"}],"issued":{"date-parts":[["2025",2,4]]}}}],"schema":"https://github.com/citation-style-language/schema/raw/master/csl-citation.json"} </w:instrText>
      </w:r>
      <w:r>
        <w:fldChar w:fldCharType="separate"/>
      </w:r>
      <w:r w:rsidRPr="005477FE" w:rsidR="005477FE">
        <w:rPr>
          <w:rFonts w:cs="Times New Roman"/>
          <w:kern w:val="0"/>
        </w:rPr>
        <w:t xml:space="preserve"> 维塔利克·布特林，《</w:t>
      </w:r>
      <w:r w:rsidRPr="005477FE" w:rsidR="005477FE">
        <w:rPr>
          <w:rFonts w:cs="Times New Roman"/>
          <w:i/>
          <w:iCs/>
          <w:kern w:val="0"/>
        </w:rPr>
        <w:t xml:space="preserve">以太坊：新一代智能合约与去中心化应用平台》</w:t>
      </w:r>
      <w:r w:rsidRPr="005477FE" w:rsidR="005477FE">
        <w:rPr>
          <w:rFonts w:cs="Times New Roman"/>
          <w:kern w:val="0"/>
        </w:rPr>
        <w:t xml:space="preserve">（2019）；加文·伍德，《</w:t>
      </w:r>
      <w:r w:rsidRPr="005477FE" w:rsidR="005477FE">
        <w:rPr>
          <w:rFonts w:cs="Times New Roman"/>
          <w:i/>
          <w:iCs/>
          <w:kern w:val="0"/>
        </w:rPr>
        <w:t xml:space="preserve">以太坊：一个</w:t>
      </w:r>
      <w:r w:rsidRPr="005477FE" w:rsidR="005477FE">
        <w:rPr>
          <w:rFonts w:cs="Times New Roman"/>
          <w:i/>
          <w:iCs/>
          <w:kern w:val="0"/>
        </w:rPr>
        <w:t xml:space="preserve">安全的去</w:t>
      </w:r>
      <w:r w:rsidRPr="005477FE" w:rsidR="005477FE">
        <w:rPr>
          <w:rFonts w:cs="Times New Roman"/>
          <w:i/>
          <w:iCs/>
          <w:kern w:val="0"/>
        </w:rPr>
        <w:t xml:space="preserve">中心化通用</w:t>
      </w:r>
      <w:r w:rsidRPr="005477FE" w:rsidR="005477FE">
        <w:rPr>
          <w:rFonts w:cs="Times New Roman"/>
          <w:i/>
          <w:iCs/>
          <w:kern w:val="0"/>
        </w:rPr>
        <w:t xml:space="preserve">交易账本</w:t>
      </w:r>
      <w:r w:rsidRPr="005477FE" w:rsidR="005477FE">
        <w:rPr>
          <w:rFonts w:cs="Times New Roman"/>
          <w:kern w:val="0"/>
        </w:rPr>
        <w:t xml:space="preserve">》（2025），https://www.example.com/ethereum-a-secure-decentralized-generalised-transaction-ledger。</w:t>
      </w:r>
      <w:r>
        <w:fldChar w:fldCharType="end"/>
      </w:r>
    </w:p>
  </w:footnote>
  <w:footnote w:id="93">
    <w:p w:rsidR="004817E5" w:rsidRDefault="00000000" w14:paraId="2735C1F5"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“至少目前，不透明性被视为一个实际问题（利普顿，2018；沃森，2022），人们正试图加以减少。尚不清楚当前流行的可解释人工智能（XAI）方法能否将不透明性降低到习惯效应开始起作用所需的阈值以下。” 尼科·福尔马内克</w:t>
      </w:r>
      <w:r>
        <w:rPr>
          <w:rFonts w:ascii="Times New Roman" w:hAnsi="Times New Roman" w:cs="Times New Roman"/>
          <w:i/>
          <w:iCs/>
        </w:rPr>
        <w:t xml:space="preserve">，《我如何停止担忧并学会热爱不透明性</w:t>
      </w:r>
      <w:r>
        <w:rPr>
          <w:rFonts w:ascii="Times New Roman" w:hAnsi="Times New Roman" w:cs="Times New Roman"/>
        </w:rPr>
        <w:t xml:space="preserve">》，</w:t>
      </w:r>
      <w:r>
        <w:rPr>
          <w:rFonts w:ascii="Times New Roman" w:hAnsi="Times New Roman" w:cs="Times New Roman"/>
          <w:smallCaps/>
        </w:rPr>
        <w:t xml:space="preserve">载于</w:t>
      </w:r>
      <w:r>
        <w:rPr>
          <w:rFonts w:ascii="Times New Roman" w:hAnsi="Times New Roman" w:cs="Times New Roman"/>
          <w:smallCaps/>
        </w:rPr>
        <w:t xml:space="preserve">《</w:t>
      </w:r>
      <w:r>
        <w:rPr>
          <w:rFonts w:ascii="Times New Roman" w:hAnsi="Times New Roman" w:cs="Times New Roman"/>
          <w:smallCaps/>
        </w:rPr>
        <w:t xml:space="preserve">机器</w:t>
      </w:r>
      <w:r>
        <w:rPr>
          <w:rFonts w:ascii="Times New Roman" w:hAnsi="Times New Roman" w:cs="Times New Roman"/>
          <w:smallCaps/>
        </w:rPr>
        <w:t xml:space="preserve">学习</w:t>
      </w:r>
      <w:r>
        <w:rPr>
          <w:rFonts w:ascii="Times New Roman" w:hAnsi="Times New Roman" w:cs="Times New Roman"/>
          <w:smallCaps/>
        </w:rPr>
        <w:t xml:space="preserve">科学哲学</w:t>
      </w:r>
      <w:r>
        <w:rPr>
          <w:rFonts w:ascii="Times New Roman" w:hAnsi="Times New Roman" w:cs="Times New Roman"/>
        </w:rPr>
        <w:t xml:space="preserve">：</w:t>
      </w:r>
      <w:r>
        <w:rPr>
          <w:rFonts w:ascii="Times New Roman" w:hAnsi="Times New Roman" w:cs="Times New Roman"/>
          <w:smallCaps/>
        </w:rPr>
        <w:t xml:space="preserve">核心</w:t>
      </w:r>
      <w:r>
        <w:rPr>
          <w:rFonts w:ascii="Times New Roman" w:hAnsi="Times New Roman" w:cs="Times New Roman"/>
          <w:smallCaps/>
        </w:rPr>
        <w:t xml:space="preserve">问题与</w:t>
      </w:r>
      <w:r>
        <w:rPr>
          <w:rFonts w:ascii="Times New Roman" w:hAnsi="Times New Roman" w:cs="Times New Roman"/>
          <w:smallCaps/>
        </w:rPr>
        <w:t xml:space="preserve">新</w:t>
      </w:r>
      <w:r>
        <w:rPr>
          <w:rFonts w:ascii="Times New Roman" w:hAnsi="Times New Roman" w:cs="Times New Roman"/>
        </w:rPr>
        <w:t xml:space="preserve">视角</w:t>
      </w:r>
      <w:r>
        <w:rPr>
          <w:rFonts w:ascii="Times New Roman" w:hAnsi="Times New Roman" w:cs="Times New Roman"/>
        </w:rPr>
        <w:t xml:space="preserve">》</w:t>
      </w:r>
      <w:r>
        <w:rPr>
          <w:rFonts w:ascii="Times New Roman" w:hAnsi="Times New Roman" w:cs="Times New Roman"/>
        </w:rPr>
        <w:t xml:space="preserve">第25-36页，第33页（胡安·M·杜兰和</w:t>
      </w:r>
      <w:r>
        <w:rPr>
          <w:rFonts w:ascii="Times New Roman" w:hAnsi="Times New Roman" w:cs="Times New Roman"/>
        </w:rPr>
        <w:t xml:space="preserve">吉奥吉亚</w:t>
      </w:r>
      <w:r>
        <w:rPr>
          <w:rFonts w:ascii="Times New Roman" w:hAnsi="Times New Roman" w:cs="Times New Roman"/>
        </w:rPr>
        <w:t xml:space="preserve">·波齐 编，施普林格·自然出版社，2026年）。</w:t>
      </w:r>
    </w:p>
  </w:footnote>
  <w:footnote w:id="94">
    <w:p w:rsidR="003D5A83" w:rsidRDefault="00000000" w14:paraId="70F4ECF8" w14:textId="77777777">
      <w:pPr>
        <w:pStyle w:val="FootnoteText"/>
      </w:pPr>
      <w:r>
        <w:rPr>
          <w:rStyle w:val="FootnoteReference"/>
        </w:rPr>
        <w:footnoteRef/>
      </w:r>
      <w:r>
        <w:t xml:space="preserve"> 在以太坊上，合约通过携带其编译后代码的交易创建，且仅将该字节码存储在链上。</w:t>
      </w:r>
      <w:r>
        <w:rPr>
          <w:i/>
          <w:iCs/>
        </w:rPr>
        <w:t xml:space="preserve">参见</w:t>
      </w:r>
      <w:r>
        <w:t xml:space="preserve">加文·伍德，《</w:t>
      </w:r>
      <w:r>
        <w:rPr>
          <w:i/>
          <w:iCs/>
        </w:rPr>
        <w:t xml:space="preserve">以太坊：一个安全的</w:t>
      </w:r>
      <w:r>
        <w:rPr>
          <w:i/>
          <w:iCs/>
        </w:rPr>
        <w:t xml:space="preserve">去中心化</w:t>
      </w:r>
      <w:r>
        <w:rPr>
          <w:i/>
          <w:iCs/>
        </w:rPr>
        <w:t xml:space="preserve">通用</w:t>
      </w:r>
      <w:r>
        <w:rPr>
          <w:i/>
          <w:iCs/>
        </w:rPr>
        <w:t xml:space="preserve">交易账本</w:t>
      </w:r>
      <w:r>
        <w:rPr>
          <w:i/>
          <w:iCs/>
        </w:rPr>
        <w:t xml:space="preserve">》</w:t>
      </w:r>
      <w:r>
        <w:t xml:space="preserve">第7节（黄皮书），https://ethereum.github.io/yellowpaper/paper.pdf。验证服务会重新编译开发者选择发布的任何源代码，并将输出结果与链上的字节码进行比对。 </w:t>
      </w:r>
      <w:r>
        <w:rPr>
          <w:i/>
          <w:iCs/>
        </w:rPr>
        <w:t xml:space="preserve">参见，例如</w:t>
      </w:r>
      <w:r>
        <w:t xml:space="preserve">，Sourcify</w:t>
      </w:r>
      <w:r>
        <w:t xml:space="preserve">，《</w:t>
      </w:r>
      <w:r>
        <w:rPr>
          <w:i/>
          <w:iCs/>
        </w:rPr>
        <w:t xml:space="preserve">精确匹配与匹配</w:t>
      </w:r>
      <w:r>
        <w:t xml:space="preserve">》，https://docs.sourcify.dev/docs/exact-match-vs-match/（最后访问日期：2026年10月26日）。</w:t>
      </w:r>
    </w:p>
  </w:footnote>
  <w:footnote w:id="95">
    <w:p w:rsidR="000E140A" w:rsidRDefault="000E140A" w14:paraId="449CCAEF" w14:textId="76B9503D">
      <w:pPr>
        <w:pStyle w:val="FootnoteText"/>
      </w:pPr>
      <w:r>
        <w:rPr>
          <w:rStyle w:val="FootnoteReference"/>
        </w:rPr>
        <w:footnoteRef/>
      </w:r>
      <w:r>
        <w:fldChar w:fldCharType="begin"/>
      </w:r>
      <w:r w:rsidRPr="004E3A22">
        <w:rPr>
          <w:lang w:val="es-ES"/>
        </w:rPr>
        <w:instrText xml:space="preserve"> ADDIN ZOTERO_ITEM CSL_CITATION {"citationID":"x8nxCIl7","properties":{"formattedCitation":"Google LLC v. Oracle America, Inc. (Supreme Court of the United States 2021).","plainCitation":"Google LLC v. Oracle America, Inc. (Supreme Court of the United States 2021).","noteIndex":44},"citationItems":[{"id":5,"uris":["http://zotero.org/users/20142566/items/UNLBCYGD"],"itemData":{"id":5,"type":"legal_case","authority":"Supreme Court of the United States","language":"en","number":"18-956","title":"Google LLC v. Oracle America, Inc.","issued":{"date-parts":[["2021",4,5]]}}}],"schema":"https://github.com/citation-style-language/schema/raw/master/csl-citation.json"} </w:instrText>
      </w:r>
      <w:r>
        <w:fldChar w:fldCharType="separate"/>
      </w:r>
      <w:r w:rsidRPr="004E3A22">
        <w:rPr>
          <w:lang w:val="es-ES"/>
        </w:rPr>
        <w:t xml:space="preserve"> Google LLC 诉 Oracle </w:t>
      </w:r>
      <w:r w:rsidRPr="004E3A22">
        <w:rPr>
          <w:lang w:val="es-ES"/>
        </w:rPr>
        <w:t xml:space="preserve">America</w:t>
      </w:r>
      <w:r w:rsidRPr="004E3A22">
        <w:rPr>
          <w:lang w:val="es-ES"/>
        </w:rPr>
        <w:t xml:space="preserve">, Inc.</w:t>
      </w:r>
      <w:r w:rsidRPr="000E140A">
        <w:t xml:space="preserve">（美国最高法院 2021 年）。</w:t>
      </w:r>
      <w:r>
        <w:fldChar w:fldCharType="end"/>
      </w:r>
    </w:p>
  </w:footnote>
  <w:footnote w:id="96">
    <w:p w:rsidR="004817E5" w:rsidRDefault="00000000" w14:paraId="545EAA05"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参见，</w:t>
      </w:r>
      <w:r>
        <w:rPr>
          <w:rFonts w:ascii="Times New Roman" w:hAnsi="Times New Roman" w:cs="Times New Roman"/>
        </w:rPr>
        <w:t xml:space="preserve">例如，Anurang </w:t>
      </w:r>
      <w:r>
        <w:rPr>
          <w:rFonts w:ascii="Times New Roman" w:hAnsi="Times New Roman" w:cs="Times New Roman"/>
        </w:rPr>
        <w:t xml:space="preserve">Shrivastava、</w:t>
      </w:r>
      <w:r>
        <w:rPr>
          <w:rFonts w:ascii="Times New Roman" w:hAnsi="Times New Roman" w:cs="Times New Roman"/>
        </w:rPr>
        <w:t xml:space="preserve">Rvs </w:t>
      </w:r>
      <w:r>
        <w:rPr>
          <w:rFonts w:ascii="Times New Roman" w:hAnsi="Times New Roman" w:cs="Times New Roman"/>
        </w:rPr>
        <w:t xml:space="preserve">Praveen、Read H. C. Alfilh、Navdeep Singh、Kanchan Yadav 和 B. Rajalakshmi，《</w:t>
      </w:r>
      <w:r>
        <w:rPr>
          <w:rFonts w:ascii="Times New Roman" w:hAnsi="Times New Roman" w:cs="Times New Roman"/>
          <w:i/>
          <w:iCs/>
        </w:rPr>
        <w:t xml:space="preserve">人工智能驱动的故障恢复能力： 将深度图神经网络集成到</w:t>
      </w:r>
      <w:r>
        <w:rPr>
          <w:rFonts w:ascii="Times New Roman" w:hAnsi="Times New Roman" w:cs="Times New Roman"/>
          <w:i/>
          <w:iCs/>
        </w:rPr>
        <w:t xml:space="preserve">时空智能电网监测</w:t>
      </w:r>
      <w:r>
        <w:rPr>
          <w:rFonts w:ascii="Times New Roman" w:hAnsi="Times New Roman" w:cs="Times New Roman"/>
        </w:rPr>
        <w:t xml:space="preserve">中》，2025</w:t>
      </w:r>
      <w:r>
        <w:rPr>
          <w:rFonts w:ascii="Times New Roman" w:hAnsi="Times New Roman" w:cs="Times New Roman"/>
          <w:smallCaps/>
        </w:rPr>
        <w:t xml:space="preserve">年国际</w:t>
      </w:r>
      <w:r>
        <w:rPr>
          <w:rFonts w:ascii="Times New Roman" w:hAnsi="Times New Roman" w:cs="Times New Roman"/>
          <w:smallCaps/>
        </w:rPr>
        <w:t xml:space="preserve">计算与</w:t>
      </w:r>
      <w:r>
        <w:rPr>
          <w:rFonts w:ascii="Times New Roman" w:hAnsi="Times New Roman" w:cs="Times New Roman"/>
          <w:smallCaps/>
        </w:rPr>
        <w:t xml:space="preserve">通信</w:t>
      </w:r>
      <w:r>
        <w:rPr>
          <w:rFonts w:ascii="Times New Roman" w:hAnsi="Times New Roman" w:cs="Times New Roman"/>
          <w:smallCaps/>
        </w:rPr>
        <w:t xml:space="preserve">会议</w:t>
      </w:r>
      <w:r>
        <w:rPr>
          <w:rFonts w:ascii="Times New Roman" w:hAnsi="Times New Roman" w:cs="Times New Roman"/>
        </w:rPr>
        <w:t xml:space="preserve">（COMPUTINGCON）</w:t>
      </w:r>
      <w:r>
        <w:rPr>
          <w:rFonts w:ascii="Times New Roman" w:hAnsi="Times New Roman" w:cs="Times New Roman"/>
        </w:rPr>
        <w:t xml:space="preserve">，印度塔莱加翁，2025年，第1-7页</w:t>
      </w:r>
      <w:r>
        <w:rPr>
          <w:rFonts w:ascii="Times New Roman" w:hAnsi="Times New Roman" w:cs="Times New Roman"/>
        </w:rPr>
        <w:t xml:space="preserve">，doi</w:t>
      </w:r>
      <w:r>
        <w:rPr>
          <w:rFonts w:ascii="Times New Roman" w:hAnsi="Times New Roman" w:cs="Times New Roman"/>
        </w:rPr>
        <w:t xml:space="preserve">: 10.1109/COMPUTINGCON64838.2025.11377902。</w:t>
      </w:r>
    </w:p>
  </w:footnote>
  <w:footnote w:id="97">
    <w:p w:rsidR="004523F7" w:rsidRDefault="004523F7" w14:paraId="7E1416F2" w14:textId="0B04CDE1">
      <w:pPr>
        <w:pStyle w:val="FootnoteText"/>
      </w:pPr>
      <w:r>
        <w:rPr>
          <w:rStyle w:val="FootnoteReference"/>
        </w:rPr>
        <w:footnoteRef/>
      </w:r>
      <w:r>
        <w:fldChar w:fldCharType="begin"/>
      </w:r>
      <w:r>
        <w:instrText xml:space="preserve"> ADDIN ZOTERO_ITEM CSL_CITATION {"citationID":"IYgQOzmO","properties":{"formattedCitation":"See Agustin V Startari, {\\i{}Regulatory Legitimacy Without Referents: On the Syntax of AI-Generated Legal Drafts}, {\\scaps AI Power Discourse} (2025), https://www.aacademica.org/agustin.v.startari/188 (discussion on machine generated law losing meaning).","plainCitation":"See Agustin V Startari, Regulatory Legitimacy Without Referents: On the Syntax of AI-Generated Legal Drafts, AI Power Discourse (2025), https://www.aacademica.org/agustin.v.startari/188 (discussion on machine generated law losing meaning).","noteIndex":44},"citationItems":[{"id":2,"uris":["http://zotero.org/users/20142566/items/PEJ6R8CJ"],"itemData":{"id":2,"type":"article-journal","abstract":"This article analyzes how AI-generated legal texts simulate legitimacy without referencing a sovereign authority. Based on a provenance-verified corpus of machine-generated documents, including contracts, terms of service, and automated policy clauses, the study shows that the legislator is structurally displaced by recurring patterns of passive voice, normative conditionals, and chains of subordinate clauses. The result is legalidad sin fuente (sourceless legality), where the appearance of regulatory authority is produced by syntactic form rather than institutional attribution. Comparing these drafts with traditional legislative writing, the article outlines a typology that instantiates autoridad no referencial and identifies a dual risk: loss of authority traceability and an accountability gap in the binding effects of these texts. This syntactic delegation constitutes a paradigm of regla compilada, situated within the tradition of formal grammars, in which language enacts governance without a governing subject.","container-title":"AI Power and Discourse","language":"en","source":"Zotero","title":"Regulatory Legitimacy Without Referents: On the Syntax of AI-Generated Legal Drafts","URL":"https://www.aacademica.org/agustin.v.startari/188","author":[{"family":"Startari","given":"Agustin V"}],"issued":{"date-parts":[["2025",8,6]]}},"prefix":"See","suffix":" (discussion on machine generated law losing meaning)"}],"schema":"https://github.com/citation-style-language/schema/raw/master/csl-citation.json"} </w:instrText>
      </w:r>
      <w:r>
        <w:fldChar w:fldCharType="separate"/>
      </w:r>
      <w:r w:rsidRPr="004523F7">
        <w:rPr>
          <w:rFonts w:cs="Times New Roman"/>
          <w:kern w:val="0"/>
        </w:rPr>
        <w:t xml:space="preserve"> 参见</w:t>
      </w:r>
      <w:r>
        <w:t xml:space="preserve"> Agustin V. Startari, Regulatory Legitimacy Without Referents: On the Syntax of AI-Generated Legal Drafts</w:t>
      </w:r>
      <w:r w:rsidRPr="004523F7">
        <w:rPr>
          <w:rFonts w:cs="Times New Roman"/>
          <w:kern w:val="0"/>
        </w:rPr>
        <w:t xml:space="preserve">, </w:t>
      </w:r>
      <w:r>
        <w:t xml:space="preserve">AI Power Discourse (2025), </w:t>
      </w:r>
      <w:r>
        <w:rPr>
          <w:rFonts w:cs="Times New Roman"/>
          <w:kern w:val="0"/>
        </w:rPr>
        <w:t>https://www.aacademica.org/agustin.v.startari/188（</w:t>
      </w:r>
      <w:r>
        <w:t>讨论</w:t>
      </w:r>
      <w:r>
        <w:rPr>
          <w:rFonts w:cs="Times New Roman"/>
          <w:kern w:val="0"/>
        </w:rPr>
        <w:t>机器生成</w:t>
      </w:r>
      <w:r>
        <w:t>的</w:t>
      </w:r>
      <w:r>
        <w:rPr>
          <w:rFonts w:cs="Times New Roman"/>
          <w:kern w:val="0"/>
        </w:rPr>
        <w:t>法律</w:t>
      </w:r>
      <w:r>
        <w:t>丧</w:t>
      </w:r>
      <w:r>
        <w:rPr>
          <w:rFonts w:cs="Times New Roman"/>
          <w:kern w:val="0"/>
        </w:rPr>
        <w:t>失</w:t>
      </w:r>
      <w:r>
        <w:rPr>
          <w:rFonts w:cs="Times New Roman"/>
          <w:kern w:val="0"/>
        </w:rPr>
        <w:t>意义的</w:t>
      </w:r>
      <w:r>
        <w:t>问题</w:t>
      </w:r>
      <w:r>
        <w:rPr>
          <w:rFonts w:cs="Times New Roman"/>
          <w:kern w:val="0"/>
        </w:rPr>
        <w:t>）。</w:t>
      </w:r>
      <w:r>
        <w:fldChar w:fldCharType="end"/>
      </w:r>
    </w:p>
  </w:footnote>
  <w:footnote w:id="98">
    <w:p w:rsidRPr="00D27BF6" w:rsidR="00D27BF6" w:rsidRDefault="00D27BF6" w14:paraId="74B5E08F" w14:textId="43EC6C4B">
      <w:pPr>
        <w:pStyle w:val="FootnoteText"/>
      </w:pPr>
      <w:r>
        <w:rPr>
          <w:rStyle w:val="FootnoteReference"/>
        </w:rPr>
        <w:footnoteRef/>
      </w:r>
      <w:r>
        <w:t xml:space="preserve"> 参见安妮</w:t>
      </w:r>
      <w:r>
        <w:t xml:space="preserve">·根特斯</w:t>
      </w:r>
      <w:r>
        <w:t xml:space="preserve">（Annie </w:t>
      </w:r>
      <w:r>
        <w:t xml:space="preserve">Gentès）</w:t>
      </w:r>
      <w:r>
        <w:t xml:space="preserve">《无处不在的应用程序的游戏机制：探访“诡异”》，《新超媒体与多媒体评论》第18卷第1-2期，第91-108页（2012年）。 </w:t>
      </w:r>
    </w:p>
  </w:footnote>
  <w:footnote w:id="99">
    <w:p w:rsidR="00044AC7" w:rsidRDefault="00044AC7" w14:paraId="66CC4653" w14:textId="35BE3DCA">
      <w:pPr>
        <w:pStyle w:val="FootnoteText"/>
      </w:pPr>
      <w:r>
        <w:rPr>
          <w:rStyle w:val="FootnoteReference"/>
        </w:rPr>
        <w:footnoteRef/>
      </w:r>
      <w:r>
        <w:fldChar w:fldCharType="begin"/>
      </w:r>
      <w:r>
        <w:instrText xml:space="preserve"> ADDIN ZOTERO_ITEM CSL_CITATION {"citationID":"hDmwqe72","properties":{"formattedCitation":"Kevin Werbach, {\\i{}A Layered Model For Internet Policy}, 1 {\\scaps Telecommun. High Technol. Law} (2002).","plainCitation":"Kevin Werbach, A Layered Model For Internet Policy, 1 Telecommun. High Technol. Law (2002).","noteIndex":49},"citationItems":[{"id":20,"uris":["http://zotero.org/users/20142566/items/58KD7YGH"],"itemData":{"id":20,"type":"article-journal","abstract":"Today, communications regulators mechanically apply outmoded categories to novel converged services, creating irresolvable contradictions and forcing hair-splitting distinctions that seldom hold up under the strain of judicial review or market forces. Policy-makers should reformulate communications policy around the technical architecture of the Internet itself, which is based on end-to-end design and a layered protocol stack. Horizontal service and geographic classifications should be reconceived in terms of four layers: content, applications or services, logic and physical infrastructure. Different policy approaches should be used for each layer, and regulators should turn their attention from pricing to the openness of interfaces between layers and competing services. The layered model would make many of the conflicts that bedevil regulators more tractable. It would bring important issues to the surface, and would put communications policy on a sound footing for the future.","container-title":"Telecommunications &amp; High Technology Law","language":"en","source":"Zotero","title":"A Layered Model For Internet Policy","volume":"1","author":[{"family":"Werbach","given":"Kevin"}],"issued":{"date-parts":[["2002"]]}}}],"schema":"https://github.com/citation-style-language/schema/raw/master/csl-citation.json"} </w:instrText>
      </w:r>
      <w:r>
        <w:fldChar w:fldCharType="separate"/>
      </w:r>
      <w:r>
        <w:rPr>
          <w:rFonts w:cs="Times New Roman"/>
          <w:kern w:val="0"/>
        </w:rPr>
        <w:t xml:space="preserve"> </w:t>
      </w:r>
      <w:r>
        <w:t>Kevin Werbach, A Layered Model For Internet Policy</w:t>
      </w:r>
      <w:r w:rsidRPr="00044AC7">
        <w:rPr>
          <w:rFonts w:cs="Times New Roman"/>
          <w:kern w:val="0"/>
        </w:rPr>
        <w:t xml:space="preserve">, 1 </w:t>
      </w:r>
      <w:r>
        <w:t>Telecommun. High Technol. Law</w:t>
      </w:r>
      <w:r w:rsidRPr="00044AC7">
        <w:rPr>
          <w:rFonts w:cs="Times New Roman"/>
          <w:kern w:val="0"/>
        </w:rPr>
        <w:t xml:space="preserve"> (2002).</w:t>
      </w:r>
      <w:r>
        <w:fldChar w:fldCharType="end"/>
      </w:r>
    </w:p>
  </w:footnote>
  <w:footnote w:id="100">
    <w:p w:rsidR="00BB4527" w:rsidP="00BB4527" w:rsidRDefault="00334DF3" w14:paraId="73FAD042" w14:textId="23D2F2B3">
      <w:pPr>
        <w:pStyle w:val="FootnoteText"/>
      </w:pPr>
      <w:r>
        <w:rPr>
          <w:rStyle w:val="FootnoteReference"/>
        </w:rPr>
        <w:footnoteRef/>
      </w:r>
      <w:r>
        <w:t xml:space="preserve"> 需要强调的是</w:t>
      </w:r>
      <w:r>
        <w:t xml:space="preserve">，此处</w:t>
      </w:r>
      <w:r w:rsidR="00BB4527">
        <w:t xml:space="preserve">的可读性</w:t>
      </w:r>
      <w:r>
        <w:t xml:space="preserve">是相对的——只要投入足够的努力并借助适当的工具，机器语言是可以被“读懂”的；但</w:t>
      </w:r>
      <w:r>
        <w:t xml:space="preserve">人类</w:t>
      </w:r>
      <w:r>
        <w:t xml:space="preserve">能否</w:t>
      </w:r>
      <w:r>
        <w:t xml:space="preserve">像机器</w:t>
      </w:r>
      <w:r w:rsidR="006C1A1D">
        <w:t xml:space="preserve">那样</w:t>
      </w:r>
      <w:r>
        <w:t xml:space="preserve">理解</w:t>
      </w:r>
      <w:r w:rsidR="006C1A1D">
        <w:t xml:space="preserve">该</w:t>
      </w:r>
      <w:r>
        <w:t xml:space="preserve">语言，仍是一个难以捉摸的问题。 </w:t>
      </w:r>
      <w:r w:rsidR="00BB4527">
        <w:t xml:space="preserve">参见：</w:t>
      </w:r>
      <w:r w:rsidRPr="001377A8" w:rsidR="00BB4527">
        <w:t xml:space="preserve">詹姆斯·L·麦克莱兰</w:t>
      </w:r>
      <w:r w:rsidR="00BB4527">
        <w:t xml:space="preserve">、</w:t>
      </w:r>
      <w:r w:rsidRPr="001377A8" w:rsidR="00BB4527">
        <w:t xml:space="preserve">菲利克斯·希尔</w:t>
      </w:r>
      <w:r w:rsidR="00BB4527">
        <w:t xml:space="preserve">、</w:t>
      </w:r>
      <w:r w:rsidRPr="001377A8" w:rsidR="00BB4527">
        <w:t xml:space="preserve">玛雅·鲁道夫</w:t>
      </w:r>
      <w:r w:rsidR="00BB4527">
        <w:t xml:space="preserve">、</w:t>
      </w:r>
      <w:r w:rsidRPr="001377A8" w:rsidR="00BB4527">
        <w:t xml:space="preserve">杰森·巴尔德里奇</w:t>
      </w:r>
      <w:r w:rsidR="00BB4527">
        <w:t xml:space="preserve">、</w:t>
      </w:r>
      <w:r w:rsidRPr="001377A8" w:rsidR="00BB4527">
        <w:t xml:space="preserve">欣里希·舒茨</w:t>
      </w:r>
      <w:r w:rsidR="00BB4527">
        <w:t xml:space="preserve">，</w:t>
      </w:r>
      <w:r w:rsidRPr="00BB4527" w:rsidR="00BB4527">
        <w:t xml:space="preserve">《将机器语言模型扩展至人类级别的语言理解</w:t>
      </w:r>
      <w:r w:rsidR="00BB4527">
        <w:t xml:space="preserve">》，arXiv:1912.05877v2 [cs.CL]  </w:t>
      </w:r>
      <w:r w:rsidR="00BB4527">
        <w:tab/>
      </w:r>
    </w:p>
    <w:p w:rsidRPr="00334DF3" w:rsidR="00334DF3" w:rsidP="00BB4527" w:rsidRDefault="00BB4527" w14:paraId="6095FBD3" w14:textId="25E0D796">
      <w:pPr>
        <w:pStyle w:val="FootnoteText"/>
      </w:pPr>
      <w:r>
        <w:t xml:space="preserve">https://doi.org/10.48550/arXiv.1912.05877（v2 2020年7月4日）。</w:t>
      </w:r>
    </w:p>
  </w:footnote>
  <w:footnote w:id="101">
    <w:p w:rsidR="00FD4C1A" w:rsidRDefault="00FD4C1A" w14:paraId="48F3AA47" w14:textId="747D8339">
      <w:pPr>
        <w:pStyle w:val="FootnoteText"/>
      </w:pPr>
      <w:r>
        <w:rPr>
          <w:rStyle w:val="FootnoteReference"/>
        </w:rPr>
        <w:footnoteRef/>
      </w:r>
      <w:r>
        <w:fldChar w:fldCharType="begin"/>
      </w:r>
      <w:r w:rsidR="00C04038">
        <w:instrText xml:space="preserve"> ADDIN ZOTERO_ITEM CSL_CITATION {"citationID":"7tpAR0Dm","properties":{"formattedCitation":"S.G. Shiva, {\\i{}Computer Hardware Description Languages\\uc0\\u8212{}A Tutorial}, 67 {\\scaps Proc. IEEE} 1605 (1979); D.M. Goldschlag, {\\i{}A Formal Model of Several Fundamental VHDL Concepts}, {\\i{}in} {\\scaps Proceedings of COMPASS\\uc0\\u8217{}94 - 1994 IEEE 9th Annual Conference on Computer Assurance} 177 (1994), http://ieeexplore.ieee.org/document/318454/.","plainCitation":"S.G. Shiva, Computer Hardware Description Languages—A Tutorial, 67 Proc. IEEE 1605 (1979); D.M. Goldschlag, A Formal Model of Several Fundamental VHDL Concepts, in Proceedings of COMPASS’94 - 1994 IEEE 9th Annual Conference on Computer Assurance 177 (1994), http://ieeexplore.ieee.org/document/318454/.","noteIndex":43},"citationItems":[{"id":147,"uris":["http://zotero.org/users/20142566/items/M2MFYWYP"],"itemData":{"id":147,"type":"article-journal","container-title":"Proceedings of the IEEE","DOI":"10.1109/PROC.1979.11541","ISSN":"0018-9219","issue":"12","journalAbbreviation":"Proc. IEEE","license":"https://ieeexplore.ieee.org/Xplorehelp/downloads/license-information/IEEE.html","page":"1605-1615","source":"DOI.org (Crossref)","title":"Computer hardware description languages—A tutorial","volume":"67","author":[{"family":"Shiva","given":"S.G."}],"issued":{"date-parts":[["1979"]]}}},{"id":149,"uris":["http://zotero.org/users/20142566/items/324EMPHH"],"itemData":{"id":149,"type":"paper-conference","abstract":"This paper presents a formal model of several fundamental concepts in VHDL including the semantics of individual concurrent statements, and groups of those statements, resolution functions, delta delays, and hierarchical component structuring. Based on this model, several extensions to VHDL are proposed, including nondeterministic assignments and unbounded asynchrony. Nondeterminism allows the speci cation of environments and of classes of devices. This model naturally captures the meaning of composition of VHDL programs.","container-title":"Proceedings of COMPASS'94 - 1994 IEEE 9th Annual Conference on Computer Assurance","DOI":"10.1109/CMPASS.1994.318454","event-title":"COMPASS'94 - 1994 IEEE 9th Annual Conference on Computer Assurance","ISBN":"978-0-7803-1855-7","language":"en","page":"177-181","publisher":"IEEE","publisher-place":"Gaithersburg, MD, USA","source":"DOI.org (Crossref)","title":"A Formal Model of Several Fundamental VHDL Concepts","URL":"http://ieeexplore.ieee.org/document/318454/","author":[{"family":"Goldschlag","given":"D.M."}],"accessed":{"date-parts":[["2026",4,13]]},"issued":{"date-parts":[["1994"]]}}}],"schema":"https://github.com/citation-style-language/schema/raw/master/csl-citation.json"} </w:instrText>
      </w:r>
      <w:r>
        <w:fldChar w:fldCharType="separate"/>
      </w:r>
      <w:r>
        <w:rPr>
          <w:rFonts w:cs="Times New Roman"/>
          <w:kern w:val="0"/>
          <w:lang w:bidi="yi-Hebr"/>
        </w:rPr>
        <w:t xml:space="preserve"> S.G. </w:t>
      </w:r>
      <w:r>
        <w:t>Shiva, Computer Hardware Description Languages—A Tutorial</w:t>
      </w:r>
      <w:r>
        <w:rPr>
          <w:rFonts w:cs="Times New Roman"/>
          <w:kern w:val="0"/>
          <w:lang w:bidi="yi-Hebr"/>
        </w:rPr>
        <w:t>, 67</w:t>
      </w:r>
      <w:r>
        <w:t xml:space="preserve"> Proc. IEEE </w:t>
      </w:r>
      <w:r>
        <w:rPr>
          <w:rFonts w:cs="Times New Roman"/>
          <w:kern w:val="0"/>
          <w:lang w:bidi="yi-Hebr"/>
        </w:rPr>
        <w:t xml:space="preserve">1605 </w:t>
      </w:r>
      <w:r>
        <w:t>(1979);</w:t>
      </w:r>
      <w:r>
        <w:rPr>
          <w:rFonts w:cs="Times New Roman"/>
          <w:kern w:val="0"/>
          <w:lang w:bidi="yi-Hebr"/>
        </w:rPr>
        <w:t xml:space="preserve"> D.M. </w:t>
      </w:r>
      <w:r w:rsidRPr="00FD4C1A">
        <w:rPr>
          <w:rFonts w:cs="Times New Roman"/>
          <w:kern w:val="0"/>
          <w:lang w:bidi="yi-Hebr"/>
        </w:rPr>
        <w:t xml:space="preserve">Goldschlag</w:t>
      </w:r>
      <w:r>
        <w:rPr>
          <w:rFonts w:cs="Times New Roman"/>
          <w:kern w:val="0"/>
          <w:lang w:bidi="yi-Hebr"/>
        </w:rPr>
        <w:t>,</w:t>
      </w:r>
      <w:r>
        <w:t xml:space="preserve"> A Formal Model of Several Fundamental VHDL Concepts</w:t>
      </w:r>
      <w:r w:rsidRPr="00FD4C1A">
        <w:rPr>
          <w:rFonts w:cs="Times New Roman"/>
          <w:kern w:val="0"/>
          <w:lang w:bidi="yi-Hebr"/>
        </w:rPr>
        <w:t xml:space="preserve">, </w:t>
      </w:r>
      <w:r>
        <w:t xml:space="preserve">in Proceedings of COMPASS’94 – 1994 IEEE 9th Annual Conference on Computer Assurance </w:t>
      </w:r>
      <w:r>
        <w:rPr>
          <w:rFonts w:cs="Times New Roman"/>
          <w:kern w:val="0"/>
          <w:lang w:bidi="yi-Hebr"/>
        </w:rPr>
        <w:t xml:space="preserve">177 </w:t>
      </w:r>
      <w:r>
        <w:t>(1994), http://ieeexplore.ieee.org/document/318454/.</w:t>
      </w:r>
      <w:r>
        <w:fldChar w:fldCharType="end"/>
      </w:r>
    </w:p>
  </w:footnote>
  <w:footnote w:id="102">
    <w:p w:rsidRPr="00757F44" w:rsidR="00757F44" w:rsidRDefault="00757F44" w14:paraId="7AD80143" w14:textId="1866FA41">
      <w:pPr>
        <w:pStyle w:val="FootnoteText"/>
      </w:pPr>
      <w:r>
        <w:rPr>
          <w:rStyle w:val="FootnoteReference"/>
        </w:rPr>
        <w:footnoteRef/>
      </w:r>
      <w:r>
        <w:t xml:space="preserve"> </w:t>
      </w:r>
      <w:r>
        <w:t xml:space="preserve">弗里德里希·基特勒，</w:t>
      </w:r>
      <w:r>
        <w:rPr>
          <w:rStyle w:val="Emphasis"/>
        </w:rPr>
        <w:t xml:space="preserve">《没有软件》</w:t>
      </w:r>
      <w:r>
        <w:t xml:space="preserve">，</w:t>
      </w:r>
      <w:r w:rsidRPr="00757F44">
        <w:rPr>
          <w:smallCaps/>
        </w:rPr>
        <w:t xml:space="preserve">CTheory</w:t>
      </w:r>
      <w:r>
        <w:t xml:space="preserve">（1995年10月18日），</w:t>
      </w:r>
      <w:hyperlink w:history="1" r:id="rId4">
        <w:r>
          <w:rPr>
            <w:rStyle w:val="Hyperlink"/>
          </w:rPr>
          <w:t xml:space="preserve">http://www.ctheory.net/articles.aspx?id=74</w:t>
        </w:r>
      </w:hyperlink>
      <w:r>
        <w:t xml:space="preserve">。</w:t>
      </w:r>
    </w:p>
  </w:footnote>
  <w:footnote w:id="103">
    <w:p w:rsidRPr="00757F44" w:rsidR="00757F44" w:rsidRDefault="00757F44" w14:paraId="60075AF5" w14:textId="4C26DE99">
      <w:pPr>
        <w:pStyle w:val="FootnoteText"/>
      </w:pPr>
      <w:r>
        <w:rPr>
          <w:rStyle w:val="FootnoteReference"/>
        </w:rPr>
        <w:footnoteRef/>
      </w:r>
      <w:r>
        <w:t xml:space="preserve"> </w:t>
      </w:r>
      <w:r w:rsidRPr="00757F44">
        <w:rPr>
          <w:smallCaps/>
        </w:rPr>
        <w:t xml:space="preserve">劳伦斯·莱西格，《代码：以及网络空间的其他法则》，2.0版</w:t>
      </w:r>
      <w:r>
        <w:t xml:space="preserve">，第5–6页（2006年）</w:t>
      </w:r>
      <w:r>
        <w:t xml:space="preserve">；</w:t>
      </w:r>
      <w:r>
        <w:t xml:space="preserve">兰登·温纳，《</w:t>
      </w:r>
      <w:r w:rsidRPr="00757F44">
        <w:rPr>
          <w:i/>
          <w:iCs/>
        </w:rPr>
        <w:t xml:space="preserve">人工制品具有政治性吗？</w:t>
      </w:r>
      <w:r>
        <w:t xml:space="preserve">》，</w:t>
      </w:r>
      <w:r w:rsidRPr="00757F44">
        <w:rPr>
          <w:smallCaps/>
        </w:rPr>
        <w:t xml:space="preserve">《代达罗斯》</w:t>
      </w:r>
      <w:r>
        <w:t xml:space="preserve">第109</w:t>
      </w:r>
      <w:r>
        <w:t xml:space="preserve">卷，第121期，第121–22页、127–31页（1980年）</w:t>
      </w:r>
      <w:r>
        <w:t xml:space="preserve">  </w:t>
      </w:r>
      <w:r>
        <w:t xml:space="preserve"> 莱西格和温纳为将技术架构视为一种监管安排提供了理论基础。 工程文献证实，该架构是通过人类决策进行设计和实现的。</w:t>
      </w:r>
      <w:r>
        <w:t xml:space="preserve">我们认为，</w:t>
      </w:r>
      <w:r>
        <w:t xml:space="preserve">由此可以推断这些决策构成了一种事先立法。</w:t>
      </w:r>
    </w:p>
  </w:footnote>
  <w:footnote w:id="104">
    <w:p w:rsidRPr="00757F44" w:rsidR="00757F44" w:rsidRDefault="00757F44" w14:paraId="5CBCB249" w14:textId="4CA4E5AD">
      <w:pPr>
        <w:pStyle w:val="FootnoteText"/>
      </w:pPr>
      <w:r>
        <w:rPr>
          <w:rStyle w:val="FootnoteReference"/>
        </w:rPr>
        <w:footnoteRef/>
      </w:r>
      <w:r>
        <w:t xml:space="preserve"> 参见，例如</w:t>
      </w:r>
      <w:r>
        <w:t xml:space="preserve">，AMD，</w:t>
      </w:r>
      <w:r>
        <w:t xml:space="preserve">《</w:t>
      </w:r>
      <w:r>
        <w:t xml:space="preserve">Vivado</w:t>
      </w:r>
      <w:r>
        <w:t xml:space="preserve"> 设计套件用户指南：综合》，UG901，第 1 章（2024.2）。</w:t>
      </w:r>
    </w:p>
  </w:footnote>
  <w:footnote w:id="105">
    <w:p w:rsidRPr="00757F44" w:rsidR="00757F44" w:rsidRDefault="00757F44" w14:paraId="7CADE8F5" w14:textId="3F4637D1">
      <w:pPr>
        <w:pStyle w:val="FootnoteText"/>
      </w:pPr>
      <w:r>
        <w:rPr>
          <w:rStyle w:val="FootnoteReference"/>
        </w:rPr>
        <w:footnoteRef/>
      </w:r>
      <w:r>
        <w:t xml:space="preserve"> 参见：</w:t>
      </w:r>
      <w:r w:rsidRPr="00757F44">
        <w:t xml:space="preserve">兰登·温纳，</w:t>
      </w:r>
      <w:r w:rsidRPr="00757F44">
        <w:rPr>
          <w:i/>
          <w:iCs/>
        </w:rPr>
        <w:t xml:space="preserve">《人工制品具有政治性吗？》，</w:t>
      </w:r>
      <w:r w:rsidRPr="00757F44">
        <w:rPr>
          <w:smallCaps/>
        </w:rPr>
        <w:t xml:space="preserve">《代达罗斯》</w:t>
      </w:r>
      <w:r w:rsidRPr="00757F44">
        <w:t xml:space="preserve">第109卷，第121页，第121–22页，第127–31页（1980年</w:t>
      </w:r>
      <w:r>
        <w:t xml:space="preserve">）（</w:t>
      </w:r>
      <w:r w:rsidRPr="00757F44">
        <w:t xml:space="preserve">技术安排可以通过其设计体现特定形式的权力和权威，而与其后续被用于何种目的无关</w:t>
      </w:r>
      <w:r>
        <w:t xml:space="preserve">）。</w:t>
      </w:r>
    </w:p>
  </w:footnote>
  <w:footnote w:id="106">
    <w:p w:rsidR="00AC1FCB" w:rsidRDefault="00AC1FCB" w14:paraId="1D76892F" w14:textId="7278048E">
      <w:pPr>
        <w:pStyle w:val="FootnoteText"/>
      </w:pPr>
      <w:r>
        <w:rPr>
          <w:rStyle w:val="FootnoteReference"/>
        </w:rPr>
        <w:footnoteRef/>
      </w:r>
      <w:r>
        <w:fldChar w:fldCharType="begin"/>
      </w:r>
      <w:r>
        <w:instrText xml:space="preserve"> ADDIN ZOTERO_ITEM CSL_CITATION {"citationID":"nwM9ZtzU","properties":{"formattedCitation":"Joel R Reidenberg, {\\i{}Lex Informatica: The Formulation of Information Policy Rules through Technology}, 76 {\\scaps Tex. Law Rev.} (1997), http://ir.lawnet.fordham.edu/faculty_scholarship/42.","plainCitation":"Joel R Reidenberg, Lex Informatica: The Formulation of Information Policy Rules through Technology, 76 Tex. Law Rev. (1997), http://ir.lawnet.fordham.edu/faculty_scholarship/42.","noteIndex":46},"citationItems":[{"id":4,"uris":["http://zotero.org/users/20142566/items/JEP8W32I"],"itemData":{"id":4,"type":"article-journal","abstract":"During the middle ages, itinerant merchants traveling across Europe to trade at fairs, markets, and sea ports needed common ground rules to create trust and confidence for robust international trade. The differences among local, feudal, royal, and ecclesiastical law provided a significant degree of uncertainty and difficulty for merchants. Custom and practices evolved into a distinct body of law known as the 'Lex Mercatoria,' which was independent of local sovereign rules and assured commercial participants of basic fairness in their relationships. In the era of network and communications technologies, participants traveling on information infrastructures confront an unstable and uncertain environment of multiple governing laws, changing national rules, and conflicting regulations. For the information infrastructure, default ground rules are just as essential for participants in the Information Society as Lex Mercatoria was to merchants hundreds of years ago. Principles governing the treatment of digital information must offer stability and predictability so that participants have enough confidence for their communities to thrive, just as settled trading rules gave confidence and vitality to merchant communities. At present, three substantive legal policy areas are in a critical state of flux in the network environment. The treatment of content, the treatment of personal information, and the preservation of ownership rights each presents conflicting policies within nations and shows a lack of harmonization across national borders. In addition, serious jurisdictional obstacles confront the enforcement of any substantive legal rights in the network environment. But just as clear accounting rules reassured participants in twentieth century financial markets, ground rules for the access, distribution, and use of information will shape the trust, confidence, and fairness in the twenty-first century digital world for citizens, businesses, and governments. Historically, law and government regulation have established default rules for information policy, including constitutional rules on freedom of expression and statutory rights of ownership of information. This Article will show that for network environments and the Information Society, however, law and government regulation are not the only source of rule-making. Technological capabilities and system design choices impose rules on participants. The creation and implementation of information policy","container-title":"Texas Law Review","language":"en","publisher":"Texas Law Review","source":"Zotero","title":"Lex Informatica: The Formulation of Information Policy Rules through Technology","URL":"http://ir.lawnet.fordham.edu/faculty_scholarship/42","volume":"76","author":[{"family":"Reidenberg","given":"Joel R"}],"issued":{"date-parts":[["1997"]]}}}],"schema":"https://github.com/citation-style-language/schema/raw/master/csl-citation.json"} </w:instrText>
      </w:r>
      <w:r>
        <w:fldChar w:fldCharType="separate"/>
      </w:r>
      <w:r>
        <w:rPr>
          <w:rFonts w:cs="Times New Roman"/>
          <w:kern w:val="0"/>
        </w:rPr>
        <w:t xml:space="preserve"> </w:t>
      </w:r>
      <w:r>
        <w:t xml:space="preserve">Joel R. Reidenberg, </w:t>
      </w:r>
      <w:r>
        <w:rPr>
          <w:rFonts w:cs="Times New Roman"/>
          <w:i/>
          <w:iCs/>
          <w:kern w:val="0"/>
        </w:rPr>
        <w:t>Lex Informatica</w:t>
      </w:r>
      <w:r>
        <w:t>: The Formulation of Information Policy Rules through Technology</w:t>
      </w:r>
      <w:r w:rsidRPr="00AC1FCB">
        <w:rPr>
          <w:rFonts w:cs="Times New Roman"/>
          <w:kern w:val="0"/>
        </w:rPr>
        <w:t xml:space="preserve">, 76 </w:t>
      </w:r>
      <w:r>
        <w:t>Tex. L. Rev. (1997), http://ir.lawnet.fordham.edu/faculty_scholarship/42.</w:t>
      </w:r>
      <w:r>
        <w:fldChar w:fldCharType="end"/>
      </w:r>
    </w:p>
  </w:footnote>
  <w:footnote w:id="107">
    <w:p w:rsidRPr="00FB5C64" w:rsidR="00FB5C64" w:rsidP="001377A8" w:rsidRDefault="00FB5C64" w14:paraId="5675CF6D" w14:textId="68266D40">
      <w:pPr>
        <w:pStyle w:val="FootnoteText"/>
      </w:pPr>
      <w:r>
        <w:rPr>
          <w:rStyle w:val="FootnoteReference"/>
        </w:rPr>
        <w:footnoteRef/>
      </w:r>
      <w:r>
        <w:t xml:space="preserve"> </w:t>
      </w:r>
      <w:r w:rsidR="006E1987">
        <w:t xml:space="preserve">参见：</w:t>
      </w:r>
      <w:r w:rsidRPr="001377A8" w:rsidR="001377A8">
        <w:rPr>
          <w:smallCaps/>
        </w:rPr>
        <w:t xml:space="preserve">阿德里安·麦肯齐，《转导：高速下的身体与机器</w:t>
      </w:r>
      <w:r w:rsidR="001377A8">
        <w:t xml:space="preserve">》（2002）</w:t>
      </w:r>
      <w:r w:rsidR="001377A8">
        <w:t xml:space="preserve">；</w:t>
      </w:r>
      <w:r w:rsidRPr="006E1987" w:rsidR="001377A8">
        <w:rPr>
          <w:smallCaps/>
        </w:rPr>
        <w:t xml:space="preserve">阿德里安·麦肯齐，《切割代码：软件与社会性</w:t>
      </w:r>
      <w:r w:rsidR="001377A8">
        <w:t xml:space="preserve">》（2006）。</w:t>
      </w:r>
    </w:p>
  </w:footnote>
  <w:footnote w:id="108">
    <w:p w:rsidRPr="00FB5C64" w:rsidR="00FB5C64" w:rsidP="00FB5C64" w:rsidRDefault="00FB5C64" w14:paraId="5E670322" w14:textId="2816CC68">
      <w:pPr>
        <w:pStyle w:val="FootnoteText"/>
      </w:pPr>
      <w:r>
        <w:rPr>
          <w:rStyle w:val="FootnoteReference"/>
        </w:rPr>
        <w:footnoteRef/>
      </w:r>
      <w:r>
        <w:t xml:space="preserve"> 参见</w:t>
      </w:r>
      <w:r>
        <w:t xml:space="preserve">珍妮特·M·温（Jeannette M. Wing）</w:t>
      </w:r>
      <w:r>
        <w:t xml:space="preserve">的</w:t>
      </w:r>
      <w:r>
        <w:t xml:space="preserve">《</w:t>
      </w:r>
      <w:r w:rsidRPr="00FB5C64">
        <w:rPr>
          <w:i/>
          <w:iCs/>
        </w:rPr>
        <w:t xml:space="preserve">计算思维与关于计算的思考</w:t>
      </w:r>
      <w:r>
        <w:t xml:space="preserve">》</w:t>
      </w:r>
      <w:r>
        <w:t xml:space="preserve">，第366页</w:t>
      </w:r>
      <w:r w:rsidR="00C91528">
        <w:t xml:space="preserve">（1881）</w:t>
      </w:r>
      <w:r w:rsidRPr="00BD3471">
        <w:rPr>
          <w:smallCaps/>
        </w:rPr>
        <w:t xml:space="preserve">，《皇家学会哲学汇刊A辑》</w:t>
      </w:r>
      <w:r>
        <w:t xml:space="preserve">第3717期（2008）</w:t>
      </w:r>
      <w:r>
        <w:t xml:space="preserve">； </w:t>
      </w:r>
      <w:r>
        <w:t xml:space="preserve">卢西亚诺·弗洛里迪，</w:t>
      </w:r>
      <w:r w:rsidRPr="00FB5C64">
        <w:rPr>
          <w:i/>
          <w:iCs/>
        </w:rPr>
        <w:t xml:space="preserve">《抽象层次的方法》</w:t>
      </w:r>
      <w:r>
        <w:t xml:space="preserve">，载</w:t>
      </w:r>
      <w:r>
        <w:t xml:space="preserve">于《</w:t>
      </w:r>
      <w:r w:rsidRPr="00BD3471">
        <w:rPr>
          <w:smallCaps/>
        </w:rPr>
        <w:t xml:space="preserve">思维与</w:t>
      </w:r>
      <w:r w:rsidRPr="00BD3471">
        <w:rPr>
          <w:smallCaps/>
        </w:rPr>
        <w:t xml:space="preserve">机器</w:t>
      </w:r>
      <w:r>
        <w:t xml:space="preserve">》第18</w:t>
      </w:r>
      <w:r w:rsidRPr="00BD3471">
        <w:rPr>
          <w:smallCaps/>
        </w:rPr>
        <w:t xml:space="preserve">卷，</w:t>
      </w:r>
      <w:r>
        <w:t xml:space="preserve">第303页（2008年）</w:t>
      </w:r>
      <w:r>
        <w:t xml:space="preserve">；以及</w:t>
      </w:r>
      <w:r>
        <w:t xml:space="preserve">亚历山大·R·加洛韦，</w:t>
      </w:r>
      <w:r w:rsidRPr="00FB5C64">
        <w:rPr>
          <w:i/>
          <w:iCs/>
        </w:rPr>
        <w:t xml:space="preserve">《协议：去中心化后的控制如何存在》</w:t>
      </w:r>
      <w:r>
        <w:t xml:space="preserve">（2004年</w:t>
      </w:r>
      <w:r>
        <w:t xml:space="preserve">）。</w:t>
      </w:r>
    </w:p>
  </w:footnote>
  <w:footnote w:id="109">
    <w:p w:rsidRPr="00FB5C64" w:rsidR="00FB5C64" w:rsidP="00FB5C64" w:rsidRDefault="00FB5C64" w14:paraId="21506275" w14:textId="00F45A23">
      <w:pPr>
        <w:pStyle w:val="FootnoteText"/>
      </w:pPr>
      <w:r>
        <w:rPr>
          <w:rStyle w:val="FootnoteReference"/>
        </w:rPr>
        <w:footnoteRef/>
      </w:r>
      <w:r>
        <w:t xml:space="preserve"> 参见，例如，</w:t>
      </w:r>
      <w:r w:rsidRPr="00BD3471">
        <w:rPr>
          <w:smallCaps/>
        </w:rPr>
        <w:t xml:space="preserve">沃尔夫冈·恩斯特，</w:t>
      </w:r>
      <w:r>
        <w:t xml:space="preserve">《</w:t>
      </w:r>
      <w:r w:rsidRPr="00BD3471">
        <w:rPr>
          <w:smallCaps/>
        </w:rPr>
        <w:t xml:space="preserve">数字记忆与档案</w:t>
      </w:r>
      <w:r>
        <w:t xml:space="preserve">》（尤西·帕里卡 编，2013）</w:t>
      </w:r>
      <w:r>
        <w:t xml:space="preserve">；</w:t>
      </w:r>
      <w:r>
        <w:t xml:space="preserve">温迪·许京春，《编程的愿景：软件与记忆》（2011）</w:t>
      </w:r>
      <w:r w:rsidR="001377A8">
        <w:t xml:space="preserve">； </w:t>
      </w:r>
      <w:r>
        <w:t xml:space="preserve">Wm. A. Wulf 与 Sally A. McKee</w:t>
      </w:r>
      <w:r w:rsidRPr="00BD3471">
        <w:rPr>
          <w:i/>
          <w:iCs/>
        </w:rPr>
        <w:t xml:space="preserve">，《撞上内存墙：显而易见之事的启示</w:t>
      </w:r>
      <w:r>
        <w:t xml:space="preserve">》，载《ACM SIGARCH</w:t>
      </w:r>
      <w:r w:rsidRPr="00BD3471">
        <w:rPr>
          <w:smallCaps/>
        </w:rPr>
        <w:t xml:space="preserve"> 计算机</w:t>
      </w:r>
      <w:r w:rsidRPr="00BD3471">
        <w:rPr>
          <w:smallCaps/>
        </w:rPr>
        <w:t xml:space="preserve">体系结构新闻》</w:t>
      </w:r>
      <w:r>
        <w:t xml:space="preserve">第23卷第1期，1995年，第20页</w:t>
      </w:r>
      <w:r w:rsidR="001377A8">
        <w:t xml:space="preserve">。</w:t>
      </w:r>
    </w:p>
  </w:footnote>
  <w:footnote w:id="110">
    <w:p w:rsidRPr="001377A8" w:rsidR="001377A8" w:rsidP="006E1987" w:rsidRDefault="001377A8" w14:paraId="53BD497A" w14:textId="10C0CB30">
      <w:pPr>
        <w:pStyle w:val="FootnoteText"/>
      </w:pPr>
      <w:r>
        <w:rPr>
          <w:rStyle w:val="FootnoteReference"/>
        </w:rPr>
        <w:footnoteRef/>
      </w:r>
      <w:r>
        <w:t xml:space="preserve"> </w:t>
      </w:r>
      <w:r w:rsidR="006E1987">
        <w:t xml:space="preserve">参见：</w:t>
      </w:r>
      <w:r w:rsidRPr="006E1987" w:rsidR="006E1987">
        <w:rPr>
          <w:smallCaps/>
        </w:rPr>
        <w:t xml:space="preserve">约翰·L·亨尼西</w:t>
      </w:r>
      <w:r w:rsidR="009B653F">
        <w:rPr>
          <w:smallCaps/>
        </w:rPr>
        <w:t xml:space="preserve">、</w:t>
      </w:r>
      <w:r w:rsidRPr="006E1987" w:rsidR="006E1987">
        <w:rPr>
          <w:smallCaps/>
        </w:rPr>
        <w:t xml:space="preserve">大卫·A</w:t>
      </w:r>
      <w:r w:rsidR="009B653F">
        <w:rPr>
          <w:smallCaps/>
        </w:rPr>
        <w:t xml:space="preserve">·</w:t>
      </w:r>
      <w:r w:rsidRPr="009B653F" w:rsidR="009B653F">
        <w:rPr>
          <w:smallCaps/>
        </w:rPr>
        <w:t xml:space="preserve">帕特森和克里斯托斯</w:t>
      </w:r>
      <w:r w:rsidRPr="009B653F" w:rsidR="009B653F">
        <w:rPr>
          <w:smallCaps/>
        </w:rPr>
        <w:t xml:space="preserve">·科齐拉基斯</w:t>
      </w:r>
      <w:r w:rsidRPr="006E1987" w:rsidR="006E1987">
        <w:rPr>
          <w:smallCaps/>
        </w:rPr>
        <w:t xml:space="preserve">，《计算机体系结构：定量方法》</w:t>
      </w:r>
      <w:r w:rsidRPr="006E1987" w:rsidR="006E1987">
        <w:t xml:space="preserve">（</w:t>
      </w:r>
      <w:r w:rsidRPr="006E1987" w:rsidR="006E1987">
        <w:t xml:space="preserve">第7版，</w:t>
      </w:r>
      <w:r w:rsidR="009B653F">
        <w:t xml:space="preserve">2025年</w:t>
      </w:r>
      <w:r w:rsidRPr="006E1987" w:rsidR="006E1987">
        <w:t xml:space="preserve">）</w:t>
      </w:r>
      <w:r w:rsidR="006E1987">
        <w:t xml:space="preserve">；</w:t>
      </w:r>
      <w:r w:rsidR="006E1987">
        <w:t xml:space="preserve"> </w:t>
      </w:r>
      <w:r w:rsidRPr="006E1987" w:rsidR="006E1987">
        <w:rPr>
          <w:smallCaps/>
        </w:rPr>
        <w:t xml:space="preserve">胡东辉，《云的史前史》</w:t>
      </w:r>
      <w:r w:rsidR="006E1987">
        <w:t xml:space="preserve">（2015年）</w:t>
      </w:r>
      <w:r w:rsidR="006E1987">
        <w:t xml:space="preserve">；</w:t>
      </w:r>
      <w:r w:rsidRPr="006E1987" w:rsidR="006E1987">
        <w:rPr>
          <w:smallCaps/>
        </w:rPr>
        <w:t xml:space="preserve">《信号流量：媒体基础设施的批判性研究</w:t>
      </w:r>
      <w:r w:rsidR="006E1987">
        <w:t xml:space="preserve">》（丽莎·帕克斯与妮可·斯塔罗西尔斯基编，2015年）</w:t>
      </w:r>
      <w:r w:rsidR="00897E96">
        <w:t xml:space="preserve">；另见</w:t>
      </w:r>
      <w:r w:rsidRPr="00897E96" w:rsidR="00897E96">
        <w:rPr>
          <w:smallCaps/>
        </w:rPr>
        <w:t xml:space="preserve">温迪·许京春，《编程的愿景：软件与记忆</w:t>
      </w:r>
      <w:r w:rsidRPr="00897E96" w:rsidR="00897E96">
        <w:t xml:space="preserve">》（2011年）</w:t>
      </w:r>
      <w:r w:rsidR="00897E96">
        <w:t xml:space="preserve">（</w:t>
      </w:r>
      <w:r w:rsidRPr="00897E96" w:rsidR="00897E96">
        <w:t xml:space="preserve">该书认为，源代码被视为解释软件的依据，但实际上并非如此</w:t>
      </w:r>
      <w:r w:rsidR="00897E96">
        <w:t xml:space="preserve">）。</w:t>
      </w:r>
    </w:p>
  </w:footnote>
  <w:footnote w:id="111">
    <w:p w:rsidRPr="00FB5C64" w:rsidR="00FB5C64" w:rsidRDefault="00FB5C64" w14:paraId="1522EBF0" w14:textId="5D2851D9">
      <w:pPr>
        <w:pStyle w:val="FootnoteText"/>
      </w:pPr>
      <w:r>
        <w:rPr>
          <w:rStyle w:val="FootnoteReference"/>
        </w:rPr>
        <w:footnoteRef/>
      </w:r>
      <w:r>
        <w:t xml:space="preserve"> 关于这一见解的学术讨论，参见例如</w:t>
      </w:r>
      <w:r w:rsidRPr="00BD3471">
        <w:rPr>
          <w:i/>
          <w:iCs/>
          <w:smallCaps/>
        </w:rPr>
        <w:t xml:space="preserve">保罗·杜里什，</w:t>
      </w:r>
      <w:r w:rsidRPr="00BD3471">
        <w:rPr>
          <w:rStyle w:val="Emphasis"/>
          <w:i w:val="0"/>
          <w:iCs w:val="0"/>
          <w:smallCaps/>
        </w:rPr>
        <w:t xml:space="preserve">《比特的质地：关于信息物质性的随笔</w:t>
      </w:r>
      <w:r>
        <w:t xml:space="preserve">》（2017年）</w:t>
      </w:r>
      <w:r>
        <w:t xml:space="preserve">（</w:t>
      </w:r>
      <w:r>
        <w:t xml:space="preserve">将协议、表征和硬件视为物质性约束</w:t>
      </w:r>
      <w:r>
        <w:t xml:space="preserve">）</w:t>
      </w:r>
      <w:r>
        <w:t xml:space="preserve">。</w:t>
      </w:r>
      <w:r>
        <w:t xml:space="preserve"> 另见</w:t>
      </w:r>
      <w:r w:rsidRPr="00FB5C64">
        <w:t xml:space="preserve">马修·G·基尔申鲍姆（Matthew G. Kirschenbaum），</w:t>
      </w:r>
      <w:r w:rsidRPr="00FB5C64">
        <w:rPr>
          <w:i/>
          <w:iCs/>
        </w:rPr>
        <w:t xml:space="preserve">《机制：新媒体与法证想象</w:t>
      </w:r>
      <w:r w:rsidRPr="00FB5C64">
        <w:t xml:space="preserve">》（2008年</w:t>
      </w:r>
      <w:r>
        <w:t xml:space="preserve">）（</w:t>
      </w:r>
      <w:r>
        <w:t xml:space="preserve">区分了“法证”与“形式”层面的物质性，并论证数字铭刻具有物理性</w:t>
      </w:r>
      <w:r w:rsidRPr="00FB5C64">
        <w:t xml:space="preserve">）</w:t>
      </w:r>
      <w:r>
        <w:t xml:space="preserve">；</w:t>
      </w:r>
      <w:r w:rsidRPr="00FB5C64">
        <w:t xml:space="preserve">让-弗朗索瓦·布兰切特（Jean-François Blanchette），</w:t>
      </w:r>
      <w:r w:rsidRPr="00FB5C64">
        <w:rPr>
          <w:i/>
          <w:iCs/>
        </w:rPr>
        <w:t xml:space="preserve">《比特的物质史</w:t>
      </w:r>
      <w:r w:rsidRPr="00FB5C64">
        <w:t xml:space="preserve">》，</w:t>
      </w:r>
      <w:r w:rsidRPr="00BD3471">
        <w:rPr>
          <w:smallCaps/>
        </w:rPr>
        <w:t xml:space="preserve">《美国信息科学与技术学会期刊》</w:t>
      </w:r>
      <w:r w:rsidR="00C91528">
        <w:rPr>
          <w:smallCaps/>
        </w:rPr>
        <w:t xml:space="preserve">第</w:t>
      </w:r>
      <w:r w:rsidRPr="00BD3471">
        <w:rPr>
          <w:smallCaps/>
        </w:rPr>
        <w:t xml:space="preserve">62</w:t>
      </w:r>
      <w:r w:rsidR="00C91528">
        <w:rPr>
          <w:smallCaps/>
        </w:rPr>
        <w:t xml:space="preserve">卷第6期</w:t>
      </w:r>
      <w:r w:rsidRPr="00FB5C64">
        <w:t xml:space="preserve">，第1042页 (2011)</w:t>
      </w:r>
      <w:r>
        <w:t xml:space="preserve">（</w:t>
      </w:r>
      <w:r>
        <w:t xml:space="preserve">论证信息依赖于物质约束，且抽象层无法消除这些约束</w:t>
      </w:r>
      <w:r>
        <w:t xml:space="preserve">）。关于“软件归根结底是硬件中的电压差，其产物可被重新构架以供人类使用”这一经典论断，参见</w:t>
      </w:r>
      <w:r>
        <w:t xml:space="preserve">弗里德里希·A·基特勒，</w:t>
      </w:r>
      <w:r>
        <w:rPr>
          <w:rStyle w:val="Emphasis"/>
        </w:rPr>
        <w:t xml:space="preserve">《没有软件</w:t>
      </w:r>
      <w:r>
        <w:t xml:space="preserve">》，</w:t>
      </w:r>
      <w:r w:rsidRPr="00C91528">
        <w:rPr>
          <w:smallCaps/>
        </w:rPr>
        <w:t xml:space="preserve">CTheory</w:t>
      </w:r>
      <w:r w:rsidR="00C91528">
        <w:t xml:space="preserve">（1995年10月18日）， </w:t>
      </w:r>
      <w:hyperlink w:history="1" r:id="rId5">
        <w:r w:rsidR="00C91528">
          <w:rPr>
            <w:rStyle w:val="Hyperlink"/>
          </w:rPr>
          <w:t xml:space="preserve">http://www.ctheory.net/articles.aspx?id=74</w:t>
        </w:r>
      </w:hyperlink>
      <w:r w:rsidR="00C91528">
        <w:t xml:space="preserve">；</w:t>
      </w:r>
      <w:r>
        <w:t xml:space="preserve">以及N. 凯瑟琳·海尔斯，《</w:t>
      </w:r>
      <w:r>
        <w:rPr>
          <w:rStyle w:val="Emphasis"/>
        </w:rPr>
        <w:t xml:space="preserve">我们如何成为后人类：控制论、文学与信息学中的虚拟身体</w:t>
      </w:r>
      <w:r>
        <w:t xml:space="preserve">》（1999）</w:t>
      </w:r>
      <w:r>
        <w:t xml:space="preserve">。</w:t>
      </w:r>
    </w:p>
  </w:footnote>
  <w:footnote w:id="112">
    <w:p w:rsidR="000505C9" w:rsidRDefault="000505C9" w14:paraId="030735EC" w14:textId="42711364">
      <w:pPr>
        <w:pStyle w:val="FootnoteText"/>
      </w:pPr>
      <w:r>
        <w:rPr>
          <w:rStyle w:val="FootnoteReference"/>
        </w:rPr>
        <w:footnoteRef/>
      </w:r>
      <w:r>
        <w:fldChar w:fldCharType="begin"/>
      </w:r>
      <w:r w:rsidR="003F6FF0">
        <w:instrText xml:space="preserve"> ADDIN ZOTERO_ITEM CSL_CITATION {"citationID":"zqzaC0Kk","properties":{"formattedCitation":"{\\scaps Lessig}, {\\i{}supra} note 43.","plainCitation":"Lessig, supra note 43.","noteIndex":51},"citationItems":[{"id":15,"uris":["http://zotero.org/users/20142566/items/YVZPWECU"],"itemData":{"id":15,"type":"book","call-number":"343.099 44","edition":"2nd ed.","ISBN":"978-0-465-03914-2","language":"en","publisher":"Basic books","publisher-place":"New York","source":"BnF ISBN","title":"Code: Version 2.0","title-short":"Code","author":[{"family":"Lessig","given":"Lawrence"}],"issued":{"date-parts":[["2006"]]}}}],"schema":"https://github.com/citation-style-language/schema/raw/master/csl-citation.json"} </w:instrText>
      </w:r>
      <w:r>
        <w:fldChar w:fldCharType="separate"/>
      </w:r>
      <w:r w:rsidRPr="003F6FF0" w:rsidR="003F6FF0">
        <w:rPr>
          <w:rFonts w:cs="Times New Roman"/>
          <w:smallCaps/>
          <w:kern w:val="0"/>
        </w:rPr>
        <w:t xml:space="preserve"> 莱西格</w:t>
      </w:r>
      <w:r w:rsidRPr="003F6FF0" w:rsidR="003F6FF0">
        <w:rPr>
          <w:rFonts w:cs="Times New Roman"/>
          <w:kern w:val="0"/>
        </w:rPr>
        <w:t xml:space="preserve">, </w:t>
      </w:r>
      <w:r w:rsidRPr="003F6FF0" w:rsidR="003F6FF0">
        <w:rPr>
          <w:rFonts w:cs="Times New Roman"/>
          <w:i/>
          <w:iCs/>
          <w:kern w:val="0"/>
        </w:rPr>
        <w:t xml:space="preserve"> ，见上</w:t>
      </w:r>
      <w:r w:rsidRPr="003F6FF0" w:rsidR="003F6FF0">
        <w:rPr>
          <w:rFonts w:cs="Times New Roman"/>
          <w:kern w:val="0"/>
        </w:rPr>
        <w:t xml:space="preserve">文注43。</w:t>
      </w:r>
      <w:r>
        <w:fldChar w:fldCharType="end"/>
      </w:r>
    </w:p>
  </w:footnote>
  <w:footnote w:id="113">
    <w:p w:rsidR="003D5A83" w:rsidRDefault="00000000" w14:paraId="7F33D4FC" w14:textId="77777777">
      <w:pPr>
        <w:pStyle w:val="FootnoteText"/>
      </w:pPr>
      <w:r>
        <w:rPr>
          <w:rStyle w:val="FootnoteReference"/>
        </w:rPr>
        <w:footnoteRef/>
      </w:r>
      <w:r>
        <w:t xml:space="preserve"> </w:t>
      </w:r>
      <w:r>
        <w:rPr>
          <w:i/>
          <w:iCs/>
        </w:rPr>
        <w:t xml:space="preserve">参见</w:t>
      </w:r>
      <w:r>
        <w:t xml:space="preserve">曹斌等，《</w:t>
      </w:r>
      <w:r>
        <w:rPr>
          <w:i/>
          <w:iCs/>
        </w:rPr>
        <w:t xml:space="preserve">区块链系统、技术与应用：方法论视角</w:t>
      </w:r>
      <w:r>
        <w:t xml:space="preserve">》</w:t>
      </w:r>
      <w:r>
        <w:t xml:space="preserve">，《</w:t>
      </w:r>
      <w:r>
        <w:rPr>
          <w:smallCaps/>
        </w:rPr>
        <w:t xml:space="preserve">IEEE通信</w:t>
      </w:r>
      <w:r>
        <w:rPr>
          <w:smallCaps/>
        </w:rPr>
        <w:t xml:space="preserve">综述</w:t>
      </w:r>
      <w:r>
        <w:rPr>
          <w:smallCaps/>
        </w:rPr>
        <w:t xml:space="preserve">与教程》</w:t>
      </w:r>
      <w:r>
        <w:t xml:space="preserve">第25卷</w:t>
      </w:r>
      <w:r>
        <w:t xml:space="preserve">，第353页（2023年）。相应的治理后果也各不相同。 针对工作量证明链的多数攻击、权益证明链上的验证者卡特尔，以及拜占庭容错系统中活性的丧失，都是不同的故障，每种故障都代表了人类监管可能介入的不同节点。</w:t>
      </w:r>
    </w:p>
  </w:footnote>
  <w:footnote w:id="114">
    <w:p w:rsidR="003D5A83" w:rsidRDefault="00000000" w14:paraId="027EC129" w14:textId="77777777">
      <w:pPr>
        <w:pStyle w:val="FootnoteText"/>
      </w:pPr>
      <w:r>
        <w:rPr>
          <w:rStyle w:val="FootnoteReference"/>
        </w:rPr>
        <w:footnoteRef/>
      </w:r>
      <w:r>
        <w:t xml:space="preserve"> 大多数主流区块链上用于授权交易的数字签名依赖于椭圆曲线密码学，而运行肖尔算法的足够强大的量子计算机可以破解该密码学；将区块串联起来的哈希函数虽然尚未被破解，但已被格罗弗算法削弱。 Peter W. Shor，</w:t>
      </w:r>
      <w:r>
        <w:rPr>
          <w:i/>
          <w:iCs/>
        </w:rPr>
        <w:t xml:space="preserve">《量子计算机上素因式分解与离散对数的多项式时间算法</w:t>
      </w:r>
      <w:r>
        <w:t xml:space="preserve">》，</w:t>
      </w:r>
      <w:r>
        <w:rPr>
          <w:smallCaps/>
        </w:rPr>
        <w:t xml:space="preserve">《SIAM</w:t>
      </w:r>
      <w:r>
        <w:rPr>
          <w:smallCaps/>
        </w:rPr>
        <w:t xml:space="preserve">计算</w:t>
      </w:r>
      <w:r>
        <w:rPr>
          <w:smallCaps/>
        </w:rPr>
        <w:t xml:space="preserve">杂志</w:t>
      </w:r>
      <w:r>
        <w:rPr>
          <w:smallCaps/>
        </w:rPr>
        <w:t xml:space="preserve">》第</w:t>
      </w:r>
      <w:r>
        <w:t xml:space="preserve">26</w:t>
      </w:r>
      <w:r>
        <w:rPr>
          <w:smallCaps/>
        </w:rPr>
        <w:t xml:space="preserve">卷，</w:t>
      </w:r>
      <w:r>
        <w:t xml:space="preserve">第1484页（1997年）；Lov K. Grover，</w:t>
      </w:r>
      <w:r>
        <w:rPr>
          <w:i/>
          <w:iCs/>
        </w:rPr>
        <w:t xml:space="preserve">《一种用于数据库搜索的快速量子力学算法</w:t>
      </w:r>
      <w:r>
        <w:t xml:space="preserve">》，</w:t>
      </w:r>
      <w:r>
        <w:rPr>
          <w:i/>
          <w:iCs/>
        </w:rPr>
        <w:t xml:space="preserve">载于</w:t>
      </w:r>
      <w:r>
        <w:rPr>
          <w:smallCaps/>
        </w:rPr>
        <w:t xml:space="preserve">《第28届ACM计算理论年会论文集》，</w:t>
      </w:r>
      <w:r>
        <w:t xml:space="preserve">第212页（1996年）。 签名方案一旦被破解，对现有资产的控制权以及新交易的授权将比交易记录本身受到更直接的威胁。美国国家标准与技术研究院（NIST）于2024年8月最终确定了其首批后量子密码学标准。</w:t>
      </w:r>
      <w:r>
        <w:rPr>
          <w:i/>
          <w:iCs/>
        </w:rPr>
        <w:t xml:space="preserve">参</w:t>
      </w:r>
      <w:r>
        <w:t xml:space="preserve">见美国国家</w:t>
      </w:r>
      <w:r>
        <w:t xml:space="preserve">标准与技术研究院，《FIPS 203，基于模块-格的密钥封装机制标准》（2024）； FIPS 204，《基于格的模块化数字签名标准》（2024）；FIPS 205，《基于无状态哈希的数字签名标准》（2024）。就本文目的而言，关键在于账本的不可篡改性是一种有条件的成就，而非本体论属性，而向新加密技术的迁移本身恰恰需要文中所描述的那种协调一致的人为决策。</w:t>
      </w:r>
    </w:p>
  </w:footnote>
  <w:footnote w:id="115">
    <w:p w:rsidR="003D5A83" w:rsidRDefault="00000000" w14:paraId="53C4EDE0" w14:textId="77777777">
      <w:pPr>
        <w:pStyle w:val="FootnoteText"/>
      </w:pPr>
      <w:r>
        <w:rPr>
          <w:rStyle w:val="FootnoteReference"/>
        </w:rPr>
        <w:footnoteRef/>
      </w:r>
      <w:r>
        <w:t xml:space="preserve"> Vitalik Buterin，《</w:t>
      </w:r>
      <w:r>
        <w:rPr>
          <w:i/>
          <w:iCs/>
        </w:rPr>
        <w:t xml:space="preserve">硬分叉</w:t>
      </w:r>
      <w:r>
        <w:t xml:space="preserve">完成，</w:t>
      </w:r>
      <w:r>
        <w:rPr>
          <w:smallCaps/>
        </w:rPr>
        <w:t xml:space="preserve">以太坊诞生》。博客</w:t>
      </w:r>
      <w:r>
        <w:t xml:space="preserve">（2016年7月20日），https://blog.ethereum.org/2016/07/20/hard-fork-completed（在区块1,920,000处发生分叉，将从DAO中被掠夺的资金转移至恢复合约）。 关于分叉作为区块链集体内部的一种抵抗方式，参见</w:t>
      </w:r>
      <w:r>
        <w:rPr>
          <w:i/>
          <w:iCs/>
        </w:rPr>
        <w:t xml:space="preserve">上文</w:t>
      </w:r>
      <w:r>
        <w:t xml:space="preserve">第三部分A</w:t>
      </w:r>
      <w:r>
        <w:t xml:space="preserve">。</w:t>
      </w:r>
    </w:p>
  </w:footnote>
  <w:footnote w:id="116">
    <w:p w:rsidR="00837851" w:rsidRDefault="00837851" w14:paraId="4C0A9842" w14:textId="3E8D42A8">
      <w:pPr>
        <w:pStyle w:val="FootnoteText"/>
      </w:pPr>
      <w:r>
        <w:rPr>
          <w:rStyle w:val="FootnoteReference"/>
        </w:rPr>
        <w:footnoteRef/>
      </w:r>
      <w:r>
        <w:fldChar w:fldCharType="begin"/>
      </w:r>
      <w:r>
        <w:instrText xml:space="preserve"> ADDIN ZOTERO_ITEM CSL_CITATION {"citationID":"NLJ7xgCi","properties":{"formattedCitation":"Dennis Longley &amp; Michael Shain, {\\i{}Compilers, Interpreters and Assemblers}, {\\i{}in} {\\scaps Understanding Microcomputers} 107 (Dennis Longley &amp; Michael Shain eds., 1985), https://doi.org/10.1007/978-1-349-07553-9_9.","plainCitation":"Dennis Longley &amp; Michael Shain, Compilers, Interpreters and Assemblers, in Understanding Microcomputers 107 (Dennis Longley &amp; Michael Shain eds., 1985), https://doi.org/10.1007/978-1-349-07553-9_9.","noteIndex":53},"citationItems":[{"id":205,"uris":["http://zotero.org/users/20142566/items/RY2LT5L8"],"itemData":{"id":205,"type":"chapter","abstract":"When a computer performs a task it obeys a set of machine code instructions that are fed in sequence to the central processing unit. Each instruction represents a minuscule operation of the computer hardware. When a programmer describes the tasks to be performed by the machine he finds it more convenient to express the actions in terms of the desired results rather than the detailed machine operations (see Chapter 7). Thus the programmer states what overall operations are required whilst the computer demands extremely detailed step-by-step instructions. Fortunately computer programs have been written that accepts the programmer’s statements as input and produces the corresponding detailed machine code as output. These programs are known as translators and they come in three varieties: compilers, interpreters and assemblers.","container-title":"Understanding Microcomputers","DOI":"10.1007/978-1-349-07553-9_9","ISBN":"978-1-349-07553-9","language":"en","page":"107-114","publisher":"Palgrave Macmillan UK","publisher-place":"London","source":"Springer Link","title":"Compilers, Interpreters and Assemblers","URL":"https://doi.org/10.1007/978-1-349-07553-9_9","author":[{"family":"Longley","given":"Dennis"},{"family":"Shain","given":"Michael"}],"editor":[{"family":"Longley","given":"Dennis"},{"family":"Shain","given":"Michael"}],"accessed":{"date-parts":[["2026",4,13]]},"issued":{"date-parts":[["1985"]]}}}],"schema":"https://github.com/citation-style-language/schema/raw/master/csl-citation.json"} </w:instrText>
      </w:r>
      <w:r>
        <w:fldChar w:fldCharType="separate"/>
      </w:r>
      <w:r w:rsidRPr="00837851">
        <w:rPr>
          <w:rFonts w:cs="Times New Roman"/>
          <w:kern w:val="0"/>
        </w:rPr>
        <w:t xml:space="preserve"> 丹尼斯·朗利与迈克尔·谢恩，《</w:t>
      </w:r>
      <w:r w:rsidRPr="00837851">
        <w:rPr>
          <w:rFonts w:cs="Times New Roman"/>
          <w:i/>
          <w:iCs/>
          <w:kern w:val="0"/>
        </w:rPr>
        <w:t xml:space="preserve">编译器、解释器和汇编器</w:t>
      </w:r>
      <w:r w:rsidRPr="00837851">
        <w:rPr>
          <w:rFonts w:cs="Times New Roman"/>
          <w:i/>
          <w:iCs/>
          <w:kern w:val="0"/>
        </w:rPr>
        <w:t xml:space="preserve">》</w:t>
      </w:r>
      <w:r w:rsidRPr="00837851">
        <w:rPr>
          <w:rFonts w:cs="Times New Roman"/>
          <w:kern w:val="0"/>
        </w:rPr>
        <w:t xml:space="preserve">, </w:t>
      </w:r>
      <w:r w:rsidRPr="00837851">
        <w:rPr>
          <w:rFonts w:cs="Times New Roman"/>
          <w:smallCaps/>
          <w:kern w:val="0"/>
        </w:rPr>
        <w:t xml:space="preserve">《理解微型计算机》</w:t>
      </w:r>
      <w:r w:rsidRPr="00837851">
        <w:rPr>
          <w:rFonts w:cs="Times New Roman"/>
          <w:kern w:val="0"/>
        </w:rPr>
        <w:t xml:space="preserve">第107页（丹尼斯·朗利与迈克尔·谢恩编，1985年），https://doi.org/10.1007/978-1-349-07553-9_9。</w:t>
      </w:r>
      <w:r>
        <w:fldChar w:fldCharType="end"/>
      </w:r>
    </w:p>
  </w:footnote>
  <w:footnote w:id="117">
    <w:p w:rsidR="009902A7" w:rsidRDefault="009902A7" w14:paraId="551962E4" w14:textId="4E50C7D8">
      <w:pPr>
        <w:pStyle w:val="FootnoteText"/>
      </w:pPr>
      <w:r>
        <w:rPr>
          <w:rStyle w:val="FootnoteReference"/>
        </w:rPr>
        <w:footnoteRef/>
      </w:r>
      <w:r>
        <w:fldChar w:fldCharType="begin"/>
      </w:r>
      <w:r>
        <w:instrText xml:space="preserve"> ADDIN ZOTERO_ITEM CSL_CITATION {"citationID":"yuv4pcfd","properties":{"formattedCitation":"See {\\scaps Nancy F. Cott}, {\\scaps Semiotics and Interpretation} (2017), https://www.degruyter.com/document/doi/10.12987/9780300160932/html.","plainCitation":"See Nancy F. Cott, Semiotics and Interpretation (2017), https://www.degruyter.com/document/doi/10.12987/9780300160932/html.","noteIndex":54},"citationItems":[{"id":229,"uris":["http://zotero.org/users/20142566/items/3LA2FG4G"],"itemData":{"id":229,"type":"book","DOI":"10.12987/9780300160932","ISBN":"978-0-300-16093-2","publisher":"Yale University Press","source":"DOI.org (Crossref)","title":"Semiotics and Interpretation","URL":"https://www.degruyter.com/document/doi/10.12987/9780300160932/html","author":[{"family":"Cott","given":"Nancy F."}],"accessed":{"date-parts":[["2026",4,13]]},"issued":{"date-parts":[["2017",12,31]]}},"prefix":"See"}],"schema":"https://github.com/citation-style-language/schema/raw/master/csl-citation.json"} </w:instrText>
      </w:r>
      <w:r>
        <w:fldChar w:fldCharType="separate"/>
      </w:r>
      <w:r w:rsidRPr="009902A7">
        <w:rPr>
          <w:rFonts w:cs="Times New Roman"/>
          <w:kern w:val="0"/>
        </w:rPr>
        <w:t xml:space="preserve"> 参见</w:t>
      </w:r>
      <w:r w:rsidRPr="009902A7">
        <w:rPr>
          <w:rFonts w:cs="Times New Roman"/>
          <w:smallCaps/>
          <w:kern w:val="0"/>
        </w:rPr>
        <w:t xml:space="preserve">南希·F·科特</w:t>
      </w:r>
      <w:r w:rsidRPr="009902A7">
        <w:rPr>
          <w:rFonts w:cs="Times New Roman"/>
          <w:kern w:val="0"/>
        </w:rPr>
        <w:t xml:space="preserve">, </w:t>
      </w:r>
      <w:r w:rsidRPr="009902A7">
        <w:rPr>
          <w:rFonts w:cs="Times New Roman"/>
          <w:smallCaps/>
          <w:kern w:val="0"/>
        </w:rPr>
        <w:t xml:space="preserve"> 《符号学与解释</w:t>
      </w:r>
      <w:r w:rsidRPr="009902A7">
        <w:rPr>
          <w:rFonts w:cs="Times New Roman"/>
          <w:kern w:val="0"/>
        </w:rPr>
        <w:t xml:space="preserve">》（2017年），https://www.degruyter.com/document/doi/10.12987/9780300160932/html。</w:t>
      </w:r>
      <w:r>
        <w:fldChar w:fldCharType="end"/>
      </w:r>
    </w:p>
  </w:footnote>
  <w:footnote w:id="118">
    <w:p w:rsidR="0061037E" w:rsidRDefault="0061037E" w14:paraId="0814035B" w14:textId="35F9A957">
      <w:pPr>
        <w:pStyle w:val="FootnoteText"/>
      </w:pPr>
      <w:r>
        <w:rPr>
          <w:rStyle w:val="FootnoteReference"/>
        </w:rPr>
        <w:footnoteRef/>
      </w:r>
      <w:r>
        <w:fldChar w:fldCharType="begin"/>
      </w:r>
      <w:r>
        <w:instrText xml:space="preserve"> ADDIN ZOTERO_ITEM CSL_CITATION {"citationID":"qjNRId4m","properties":{"formattedCitation":"See N. Chomsky, {\\i{}Three Models for the Description of Language}, 2 {\\scaps IRE Trans. Inf. Theory} 113 (1956).","plainCitation":"See N. Chomsky, Three Models for the Description of Language, 2 IRE Trans. Inf. Theory 113 (1956).","noteIndex":45},"citationItems":[{"id":51,"uris":["http://zotero.org/users/20142566/items/GENGGNCY"],"itemData":{"id":51,"type":"article-journal","abstract":"We investigate several conceptions of linguistic structure to determine whether or not they can provide simple and \"revealing\" grammars that generate all of the sentences of English and only these. We find that no finite-state Markov process that produces symbols with transition from state to state can serve as an English grammar. Furthermore, the particular subclass of such processes that producen-order statistical approximations to English do not come closer, with increasingn, to matching the output of an English grammar. We formalize-the notions of \"phrase structure\" and show that this gives us a method for describing language which is essentially more powerful, though still representable as a rather elementary type of finite-state process. Nevertheless, it is successful only when limited to a small subset of simple sentences. We study the formal properties of a set of grammatical transformations that carry sentences with phrase structure into new sentences with derived phrase structure, showing that transformational grammars are processes of the same elementary type as phrase-structure grammars; that the grammar of English is materially simplified if phrase structure description is limited to a kernel of simple sentences from which all other sentences are constructed by repeated transformations; and that this view of linguistic structure gives a certain insight into the use and understanding of language.","container-title":"IRE Transactions on Information Theory","DOI":"10.1109/TIT.1956.1056813","ISSN":"2168-2712","issue":"3","page":"113-124","source":"IEEE Xplore","title":"Three models for the description of language","volume":"2","author":[{"family":"Chomsky","given":"N."}],"issued":{"date-parts":[["1956",9]]}},"prefix":"See"}],"schema":"https://github.com/citation-style-language/schema/raw/master/csl-citation.json"} </w:instrText>
      </w:r>
      <w:r>
        <w:fldChar w:fldCharType="separate"/>
      </w:r>
      <w:r>
        <w:rPr>
          <w:rFonts w:cs="Times New Roman"/>
          <w:kern w:val="0"/>
        </w:rPr>
        <w:t xml:space="preserve"> 参见</w:t>
      </w:r>
      <w:r>
        <w:t xml:space="preserve"> </w:t>
      </w:r>
      <w:r>
        <w:rPr>
          <w:rFonts w:cs="Times New Roman"/>
          <w:kern w:val="0"/>
        </w:rPr>
        <w:t xml:space="preserve">N. </w:t>
      </w:r>
      <w:r>
        <w:t>Chomsky, Three Models for the Description of Language</w:t>
      </w:r>
      <w:r>
        <w:rPr>
          <w:rFonts w:cs="Times New Roman"/>
          <w:kern w:val="0"/>
        </w:rPr>
        <w:t>, 2</w:t>
      </w:r>
      <w:r>
        <w:t xml:space="preserve"> </w:t>
      </w:r>
      <w:r>
        <w:rPr>
          <w:rFonts w:cs="Times New Roman"/>
          <w:smallCaps/>
          <w:kern w:val="0"/>
        </w:rPr>
        <w:t>IRE Trans. Inf. Theory</w:t>
      </w:r>
      <w:r w:rsidRPr="0061037E">
        <w:rPr>
          <w:rFonts w:cs="Times New Roman"/>
          <w:kern w:val="0"/>
        </w:rPr>
        <w:t xml:space="preserve"> 113 (1956).</w:t>
      </w:r>
      <w:r>
        <w:fldChar w:fldCharType="end"/>
      </w:r>
    </w:p>
  </w:footnote>
  <w:footnote w:id="119">
    <w:p w:rsidR="007A1D46" w:rsidRDefault="007A1D46" w14:paraId="4A49C49A" w14:textId="60C63E11">
      <w:pPr>
        <w:pStyle w:val="FootnoteText"/>
      </w:pPr>
      <w:r>
        <w:rPr>
          <w:rStyle w:val="FootnoteReference"/>
        </w:rPr>
        <w:footnoteRef/>
      </w:r>
      <w:r>
        <w:fldChar w:fldCharType="begin"/>
      </w:r>
      <w:r>
        <w:instrText xml:space="preserve"> ADDIN ZOTERO_ITEM CSL_CITATION {"citationID":"I7Ban4yU","properties":{"formattedCitation":"See Barry McMullin, {\\i{}Computational Autopoiesis: The Original Algorithm} (1997) (examples of autopoietic software).","plainCitation":"See Barry McMullin, Computational Autopoiesis: The Original Algorithm (1997) (examples of autopoietic software).","noteIndex":54},"citationItems":[{"id":204,"uris":["http://zotero.org/users/20142566/items/X6E3ZJY9"],"itemData":{"id":204,"type":"article-journal","abstract":"This report presents a detailed review and re-presentation of the algorithm for (computational) realisation of autopoiesis, originally presented by Varela, Maturana &amp; Uribe (1974). The review is from the perspective of one seeking to re-implement this algorithm. It arises from an on-going project to develop such a re-implementation using the Swarm simulation system.1 The motivation for such re-implementation is rstly to critically re-examine the phenomenology generated by this model chemistry, and secondly to use it as a basis for exploring more complex systems. The algorithm is rst reviewed and annotated for internal consistency and clarity; it is then separately reviewed for consistency with the experimental results which originally accompanied it. A number of signi cant discrepancies are discussed. By kind permission of Francisco Varela, this report also includes, as an Appendix, some previously unpublished documentation and source code (in FORTRAN IV) associated with the original model. By critical consideration of the experimental results in conjunction with this code, an important|perhaps crucial|interaction, not included in any previous description of the model, has been re-discovered. This interaction is presented and discussed brie y.","language":"en","source":"Zotero","title":"Computational Autopoiesis: The Original Algorithm","author":[{"family":"McMullin","given":"Barry"}],"issued":{"date-parts":[["1997"]]}},"prefix":"See","suffix":" (examples of autopoietic software)"}],"schema":"https://github.com/citation-style-language/schema/raw/master/csl-citation.json"} </w:instrText>
      </w:r>
      <w:r>
        <w:fldChar w:fldCharType="separate"/>
      </w:r>
      <w:r w:rsidRPr="007A1D46">
        <w:rPr>
          <w:rFonts w:cs="Times New Roman"/>
          <w:kern w:val="0"/>
        </w:rPr>
        <w:t xml:space="preserve"> 参见巴里·麦克马林，《</w:t>
      </w:r>
      <w:r w:rsidRPr="007A1D46">
        <w:rPr>
          <w:rFonts w:cs="Times New Roman"/>
          <w:i/>
          <w:iCs/>
          <w:kern w:val="0"/>
        </w:rPr>
        <w:t xml:space="preserve">计算自组织：原始算法》</w:t>
      </w:r>
      <w:r w:rsidRPr="007A1D46">
        <w:rPr>
          <w:rFonts w:cs="Times New Roman"/>
          <w:kern w:val="0"/>
        </w:rPr>
        <w:t xml:space="preserve">（1997）（自组织软件的实例）。</w:t>
      </w:r>
      <w:r>
        <w:fldChar w:fldCharType="end"/>
      </w:r>
    </w:p>
  </w:footnote>
  <w:footnote w:id="120">
    <w:p w:rsidR="00620936" w:rsidRDefault="00620936" w14:paraId="3BF5DFDF" w14:textId="6F5F494C">
      <w:pPr>
        <w:pStyle w:val="FootnoteText"/>
      </w:pPr>
      <w:r>
        <w:rPr>
          <w:rStyle w:val="FootnoteReference"/>
        </w:rPr>
        <w:footnoteRef/>
      </w:r>
      <w:r>
        <w:fldChar w:fldCharType="begin"/>
      </w:r>
      <w:r w:rsidR="00C04038">
        <w:instrText xml:space="preserve"> ADDIN ZOTERO_ITEM CSL_CITATION {"citationID":"kxl21eK3","properties":{"formattedCitation":"Noam Chomsky, {\\i{}Syntactic Structures}, {\\i{}in} {\\scaps Syntactic Structures} (2009), https://www.degruyterbrill.com/document/doi/10.1515/9783110218329/html.","plainCitation":"Noam Chomsky, Syntactic Structures, in Syntactic Structures (2009), https://www.degruyterbrill.com/document/doi/10.1515/9783110218329/html.","noteIndex":45},"citationItems":[{"id":50,"uris":["http://zotero.org/users/20142566/items/JB5BTMWC"],"itemData":{"id":50,"type":"chapter","container-title":"Syntactic Structures","DOI":"10.1515/9783110218329","ISBN":"978-3-11-021832-9","language":"en","publisher":"De Gruyter Mouton","source":"www.degruyterbrill.com","title":"Syntactic Structures","URL":"https://www.degruyterbrill.com/document/doi/10.1515/9783110218329/html","author":[{"family":"Chomsky","given":"Noam"}],"accessed":{"date-parts":[["2026",4,6]]},"issued":{"date-parts":[["2009",9,24]]}}}],"schema":"https://github.com/citation-style-language/schema/raw/master/csl-citation.json"} </w:instrText>
      </w:r>
      <w:r>
        <w:fldChar w:fldCharType="separate"/>
      </w:r>
      <w:r>
        <w:rPr>
          <w:rFonts w:cs="Times New Roman"/>
          <w:kern w:val="0"/>
          <w:lang w:bidi="yi-Hebr"/>
        </w:rPr>
        <w:t xml:space="preserve"> </w:t>
      </w:r>
      <w:r>
        <w:t>Noam Chomsky, Syntactic Structures</w:t>
      </w:r>
      <w:r w:rsidRPr="00620936">
        <w:rPr>
          <w:rFonts w:cs="Times New Roman"/>
          <w:kern w:val="0"/>
          <w:lang w:bidi="yi-Hebr"/>
        </w:rPr>
        <w:t xml:space="preserve">, </w:t>
      </w:r>
      <w:r>
        <w:t>in Syntactic Structures (2009), https://www.degruyterbrill.com/document/doi/10.1515/9783110218329/html.</w:t>
      </w:r>
      <w:r>
        <w:fldChar w:fldCharType="end"/>
      </w:r>
    </w:p>
  </w:footnote>
  <w:footnote w:id="121">
    <w:p w:rsidRPr="004E3A22" w:rsidR="00EB47B6" w:rsidRDefault="00EB47B6" w14:paraId="42C7F309" w14:textId="7031A71B">
      <w:pPr>
        <w:pStyle w:val="FootnoteText"/>
      </w:pPr>
      <w:r>
        <w:rPr>
          <w:rStyle w:val="FootnoteReference"/>
        </w:rPr>
        <w:footnoteRef/>
      </w:r>
      <w:r>
        <w:fldChar w:fldCharType="begin"/>
      </w:r>
      <w:r w:rsidR="00C04038">
        <w:instrText xml:space="preserve"> ADDIN ZOTERO_ITEM CSL_CITATION {"citationID":"euOasLoS","properties":{"formattedCitation":"{\\i{}See} {\\scaps Pierre Bourdieu, John B. Thompson &amp; Gino Raymond}, {\\scaps Language and Symbolic Power} (Reprinted ed. 2003); {\\i{}see also} {\\scaps Michel Foucault}, {\\scaps Archaeology of Knowledge} (2 ed. 2013).","plainCitation":"See Pierre Bourdieu, John B. Thompson &amp; Gino Raymond, Language and Symbolic Power (Reprinted ed. 2003); see also Michel Foucault, Archaeology of Knowledge (2 ed. 2013).","noteIndex":46},"citationItems":[{"id":46,"uris":["http://zotero.org/users/20142566/items/UJP4Z7ZZ"],"itemData":{"id":46,"type":"book","edition":"Reprinted","ISBN":"978-0-674-51041-8","number-of-pages":"302","publisher":"Harvard Univ. Press","publisher-place":"Cambridge","source":"K10plus ISBN","title":"Language and Symbolic Power","author":[{"family":"Bourdieu","given":"Pierre"},{"family":"Thompson","given":"John B."},{"family":"Raymond","given":"Gino"}],"issued":{"date-parts":[["2003"]]}},"prefix":"&lt;i&gt;See&lt;/i&gt;"},{"id":45,"uris":["http://zotero.org/users/20142566/items/EHEHRREU"],"itemData":{"id":45,"type":"book","abstract":"In France, a country that awards its intellectuals the status other countries give their rock stars, Michel Foucault was part of a glittering generation of thinkers, one which also included Sartre, de Beauvoir and Deleuze. One of the great intellectual heroes of the twentieth century, Foucault was a man whose passion and reason were at the service of nearly every progressive cause of his time. From law and order, to mental health, to power and knowledge, he spearheaded public awareness of the dynamics that hold us all in thrall to a few powerful ideologies and interests. Arguably his finest work, Archaeology of Knowledge is a challenging but fantastically rewarding introduction to his ideas.","DOI":"10.4324/9780203604168","edition":"2","ISBN":"978-0-203-60416-8","number-of-pages":"256","publisher":"Routledge","publisher-place":"London","title":"Archaeology of Knowledge","author":[{"family":"Foucault","given":"Michel"}],"issued":{"date-parts":[["2013",4,14]]}},"prefix":"&lt;i&gt;see also&lt;/i&gt;"}],"schema":"https://github.com/citation-style-language/schema/raw/master/csl-citation.json"} </w:instrText>
      </w:r>
      <w:r>
        <w:fldChar w:fldCharType="separate"/>
      </w:r>
      <w:r w:rsidRPr="000969E5" w:rsidR="000969E5">
        <w:rPr>
          <w:rFonts w:cs="Times New Roman"/>
          <w:i/>
          <w:iCs/>
          <w:kern w:val="0"/>
          <w:lang w:bidi="yi-Hebr"/>
        </w:rPr>
        <w:t xml:space="preserve"> 参见</w:t>
      </w:r>
      <w:r w:rsidRPr="000969E5" w:rsidR="000969E5">
        <w:rPr>
          <w:rFonts w:cs="Times New Roman"/>
          <w:smallCaps/>
          <w:kern w:val="0"/>
          <w:lang w:bidi="yi-Hebr"/>
        </w:rPr>
        <w:t xml:space="preserve">皮埃尔·布迪厄、约翰·B·汤普森与吉诺·雷蒙德</w:t>
      </w:r>
      <w:r w:rsidRPr="000969E5" w:rsidR="000969E5">
        <w:rPr>
          <w:rFonts w:cs="Times New Roman"/>
          <w:kern w:val="0"/>
          <w:lang w:bidi="yi-Hebr"/>
        </w:rPr>
        <w:t xml:space="preserve">, </w:t>
      </w:r>
      <w:r w:rsidRPr="000969E5" w:rsidR="000969E5">
        <w:rPr>
          <w:rFonts w:cs="Times New Roman"/>
          <w:smallCaps/>
          <w:kern w:val="0"/>
          <w:lang w:bidi="yi-Hebr"/>
        </w:rPr>
        <w:t xml:space="preserve"> 《语言与符号权力</w:t>
      </w:r>
      <w:r w:rsidRPr="000969E5" w:rsidR="000969E5">
        <w:rPr>
          <w:rFonts w:cs="Times New Roman"/>
          <w:kern w:val="0"/>
          <w:lang w:bidi="yi-Hebr"/>
        </w:rPr>
        <w:t xml:space="preserve">》（2003年再版）；</w:t>
      </w:r>
      <w:r w:rsidRPr="000969E5" w:rsidR="000969E5">
        <w:rPr>
          <w:rFonts w:cs="Times New Roman"/>
          <w:i/>
          <w:iCs/>
          <w:kern w:val="0"/>
          <w:lang w:bidi="yi-Hebr"/>
        </w:rPr>
        <w:t xml:space="preserve">另见</w:t>
      </w:r>
      <w:r w:rsidRPr="000969E5" w:rsidR="000969E5">
        <w:rPr>
          <w:rFonts w:cs="Times New Roman"/>
          <w:smallCaps/>
          <w:kern w:val="0"/>
          <w:lang w:bidi="yi-Hebr"/>
        </w:rPr>
        <w:t xml:space="preserve">米歇尔·福柯</w:t>
      </w:r>
      <w:r w:rsidRPr="000969E5" w:rsidR="000969E5">
        <w:rPr>
          <w:rFonts w:cs="Times New Roman"/>
          <w:kern w:val="0"/>
          <w:lang w:bidi="yi-Hebr"/>
        </w:rPr>
        <w:t xml:space="preserve">, </w:t>
      </w:r>
      <w:r w:rsidRPr="000969E5" w:rsidR="000969E5">
        <w:rPr>
          <w:rFonts w:cs="Times New Roman"/>
          <w:smallCaps/>
          <w:kern w:val="0"/>
          <w:lang w:bidi="yi-Hebr"/>
        </w:rPr>
        <w:t xml:space="preserve"> 《知识考古学</w:t>
      </w:r>
      <w:r w:rsidRPr="000969E5" w:rsidR="000969E5">
        <w:rPr>
          <w:rFonts w:cs="Times New Roman"/>
          <w:kern w:val="0"/>
          <w:lang w:bidi="yi-Hebr"/>
        </w:rPr>
        <w:t xml:space="preserve">》（2013年第二版）。</w:t>
      </w:r>
      <w:r>
        <w:fldChar w:fldCharType="end"/>
      </w:r>
    </w:p>
  </w:footnote>
  <w:footnote w:id="122">
    <w:p w:rsidRPr="004E3A22" w:rsidR="00317FE7" w:rsidRDefault="00317FE7" w14:paraId="5A559426" w14:textId="68F116E5">
      <w:pPr>
        <w:pStyle w:val="FootnoteText"/>
      </w:pPr>
      <w:r>
        <w:rPr>
          <w:rStyle w:val="FootnoteReference"/>
        </w:rPr>
        <w:footnoteRef/>
      </w:r>
      <w:r>
        <w:fldChar w:fldCharType="begin"/>
      </w:r>
      <w:r w:rsidR="00C04038">
        <w:instrText xml:space="preserve"> ADDIN ZOTERO_ITEM CSL_CITATION {"citationID":"qqAsM3ls","properties":{"formattedCitation":"{\\i{}See} {\\scaps Norbert Wiener}, {\\scaps The Human Use of Human Beings: Cybernetics and Society} (2025), https://mitpressbookstore.mit.edu/book/9780063423190 (arguing that systems optimizing strictly for operational control reduce human communication to mechanistic feedback loops, severing the message from its culturally embedded values).","plainCitation":"See Norbert Wiener, The Human Use of Human Beings: Cybernetics and Society (2025), https://mitpressbookstore.mit.edu/book/9780063423190 (arguing that systems optimizing strictly for operational control reduce human communication to mechanistic feedback loops, severing the message from its culturally embedded values).","noteIndex":47},"citationItems":[{"id":47,"uris":["http://zotero.org/users/20142566/items/3UWEL3I9"],"itemData":{"id":47,"type":"book","abstract":"For the 75th anniversary, a new edition of The Human Use of Human Beings—the landmark book that delves into the relationship between humans and computers, and presciently anticipates many contemporary dilemmas surrounding AI technology. With a new introduction by Brian Christian, author of the bestselling Algorithms to Live By and The Alignment Problem. In 1950, mathematician-philosopher Norbert Wiener ended this classic book on the place of machines in society with a warning: “We shall never receive the right answers to our questions unless we ask the right questions.... The hour is very late, and the choice of good and evil knocks at our door.” Wiener, the founder of the science of cybernetics—the study of the relationship between computers and the human nervous system—was widely mislabeled as an advocate for the automation of human life. As The Human Use for Human Beings reveals, his vision was much more complex and interesting, and is more relevant in today’s world of AI than anyone could have anticipated. In his new introduction, Brian Christian aptly calls Wiener the “progenitor of contemporary AI-safety discourse.” Wiener hoped that machines would release people from relentless and repetitive drudgery to achieve more creative pursuits, yet he anticipated the danger of dehumanizing and displacement. His pioneering views on the human-machine relationship as a “communicative process” are only more crucial now, as we carry in our pockets AI devices that we can literally speak to. His prescient warnings illuminate our contemporary relationships with language, art, and even social media. The Human Use of Human Beings examines the implications of cybernetics for education, law, language, science, technology, as Wiener anticipates the enormous impact—in effect, a third industrial revolution—that the computer has had on our lives.","ISBN":"978-0-06-342319-0","language":"en","number-of-pages":"240","original-publisher":"Houghton Mifflin","publisher":"Mariner Books Classics","publisher-place":"Boston","title":"The Human Use of Human Beings: Cybernetics and Society","title-short":"The Human Use of Human Beings","URL":"https://mitpressbookstore.mit.edu/book/9780063423190","author":[{"family":"Wiener","given":"Norbert"}],"accessed":{"date-parts":[["2026",4,6]]},"issued":{"date-parts":[["2025",8,12]]},"original-date":{"date-parts":[["1954"]]}},"prefix":"&lt;i&gt;See&lt;/i&gt;","suffix":"(arguing that systems optimizing strictly for operational control reduce human communication to mechanistic feedback loops, severing the message from its culturally embedded values)"}],"schema":"https://github.com/citation-style-language/schema/raw/master/csl-citation.json"} </w:instrText>
      </w:r>
      <w:r>
        <w:fldChar w:fldCharType="separate"/>
      </w:r>
      <w:r w:rsidRPr="004E3A22" w:rsidR="00E07D34">
        <w:rPr>
          <w:rFonts w:cs="Times New Roman"/>
          <w:i/>
          <w:iCs/>
          <w:kern w:val="0"/>
          <w:lang w:bidi="yi-Hebr"/>
        </w:rPr>
        <w:t xml:space="preserve"> 参见</w:t>
      </w:r>
      <w:r w:rsidRPr="004E3A22" w:rsidR="00E07D34">
        <w:rPr>
          <w:rFonts w:cs="Times New Roman"/>
          <w:smallCaps/>
          <w:kern w:val="0"/>
          <w:lang w:bidi="yi-Hebr"/>
        </w:rPr>
        <w:t xml:space="preserve">诺伯特·维纳（Norbert Wiener）</w:t>
      </w:r>
      <w:r w:rsidRPr="004E3A22" w:rsidR="00E07D34">
        <w:rPr>
          <w:rFonts w:cs="Times New Roman"/>
          <w:kern w:val="0"/>
          <w:lang w:bidi="yi-Hebr"/>
        </w:rPr>
        <w:t xml:space="preserve">, </w:t>
      </w:r>
      <w:r w:rsidRPr="004E3A22" w:rsidR="00E07D34">
        <w:rPr>
          <w:rFonts w:cs="Times New Roman"/>
          <w:smallCaps/>
          <w:kern w:val="0"/>
          <w:lang w:bidi="yi-Hebr"/>
        </w:rPr>
        <w:t xml:space="preserve"> 《人类对人类的利用：控制论与社会</w:t>
      </w:r>
      <w:r w:rsidRPr="004E3A22" w:rsidR="00E07D34">
        <w:rPr>
          <w:rFonts w:cs="Times New Roman"/>
          <w:kern w:val="0"/>
          <w:lang w:bidi="yi-Hebr"/>
        </w:rPr>
        <w:t xml:space="preserve">》（2025年），https://mitpressbookstore.mit.edu/book/9780063423190（该文认为，严格以操作控制为优化目标的系统会将人类沟通简化为机械式的反馈循环，从而割裂了信息与其文化内嵌价值之间的联系）。</w:t>
      </w:r>
      <w:r>
        <w:fldChar w:fldCharType="end"/>
      </w:r>
    </w:p>
  </w:footnote>
  <w:footnote w:id="123">
    <w:p w:rsidR="003D5A83" w:rsidRDefault="00000000" w14:paraId="44E69C1E" w14:textId="77777777">
      <w:pPr>
        <w:pStyle w:val="FootnoteText"/>
      </w:pPr>
      <w:r>
        <w:rPr>
          <w:rStyle w:val="FootnoteReference"/>
        </w:rPr>
        <w:footnoteRef/>
      </w:r>
      <w:r>
        <w:t xml:space="preserve"> C. E. 香农，</w:t>
      </w:r>
      <w:r>
        <w:rPr>
          <w:i/>
          <w:iCs/>
        </w:rPr>
        <w:t xml:space="preserve">《通信的数学理论》</w:t>
      </w:r>
      <w:r>
        <w:t xml:space="preserve">，</w:t>
      </w:r>
      <w:r>
        <w:rPr>
          <w:smallCaps/>
        </w:rPr>
        <w:t xml:space="preserve">《贝尔系统技术杂志》</w:t>
      </w:r>
      <w:r>
        <w:t xml:space="preserve">第27卷</w:t>
      </w:r>
      <w:r>
        <w:t xml:space="preserve">，第379页，379（1948年）。</w:t>
      </w:r>
    </w:p>
  </w:footnote>
  <w:footnote w:id="124">
    <w:p w:rsidR="00D1525C" w:rsidRDefault="00D1525C" w14:paraId="6CF5229B" w14:textId="61D47AC4">
      <w:pPr>
        <w:pStyle w:val="FootnoteText"/>
      </w:pPr>
      <w:r>
        <w:rPr>
          <w:rStyle w:val="FootnoteReference"/>
        </w:rPr>
        <w:footnoteRef/>
      </w:r>
      <w:r>
        <w:fldChar w:fldCharType="begin"/>
      </w:r>
      <w:r w:rsidR="00C04038">
        <w:instrText xml:space="preserve"> ADDIN ZOTERO_ITEM CSL_CITATION {"citationID":"WGsf2Q6d","properties":{"formattedCitation":"Mireille Hildebrandt, {\\i{}Law as Information in the Era of Data\\uc0\\u8208{}Driven Agency}, 79 {\\scaps Mod. Law Rev.} 1 (2016).","plainCitation":"Mireille Hild</w:instrText>
      </w:r>
      <w:r w:rsidR="00C04038">
        <w:rPr>
          <w:rFonts w:hint="eastAsia"/>
        </w:rPr>
        <w:instrText>ebrandt, Law as Information in the Era of Data</w:instrText>
      </w:r>
      <w:r w:rsidR="00C04038">
        <w:rPr>
          <w:rFonts w:hint="eastAsia"/>
        </w:rPr>
        <w:instrText>‐</w:instrText>
      </w:r>
      <w:r w:rsidR="00C04038">
        <w:rPr>
          <w:rFonts w:hint="eastAsia"/>
        </w:rPr>
        <w:instrText>Driven Agency, 79 Mod. Law Rev. 1 (2016).","noteIndex":48},"citationItems":[{"id":21,"uris":["http://zotero.org/users/20142566/items/VQJVTK2X"],"itemData":{"id":21,"type":"article-journal","abstract":"This co</w:instrText>
      </w:r>
      <w:r w:rsidR="00C04038">
        <w:instrText>ntribution introduces the mathematical theory of information that ‘informs’ computer systems, the internet and all that has been built upon it. The aim of the author is to invite lawyers to reconsider the grammar and alphabet of modern positive law and of</w:instrText>
      </w:r>
      <w:r w:rsidR="00C04038">
        <w:rPr>
          <w:rFonts w:hint="eastAsia"/>
        </w:rPr>
        <w:instrText xml:space="preserve"> the Rule of Law, in the face of the alternative grammar and alphabet of a data</w:instrText>
      </w:r>
      <w:r w:rsidR="00C04038">
        <w:rPr>
          <w:rFonts w:hint="eastAsia"/>
        </w:rPr>
        <w:instrText>‐</w:instrText>
      </w:r>
      <w:r w:rsidR="00C04038">
        <w:rPr>
          <w:rFonts w:hint="eastAsia"/>
        </w:rPr>
        <w:instrText>driven society. Instead of either embracing or rejecting the technological transitions that reconfigure the operations of the law, this article argues that lawyers should collaborate with the computer scientists that engineer and design the affordances of our new onli\n              f\n              e world. This is crucial if we want to sustain democratic participation in law</w:instrText>
      </w:r>
      <w:r w:rsidR="00C04038">
        <w:rPr>
          <w:rFonts w:hint="eastAsia"/>
        </w:rPr>
        <w:instrText>‐</w:instrText>
      </w:r>
      <w:r w:rsidR="00C04038">
        <w:rPr>
          <w:rFonts w:hint="eastAsia"/>
        </w:rPr>
        <w:instrText>making, contestability of legal effect and transpa</w:instrText>
      </w:r>
      <w:r w:rsidR="00C04038">
        <w:instrText>rency of how citizens may be manipulated by the invisible computational backbone of our rapidly and radically changing world.","container-title":"The Modern Law Review","DOI":"10.1111/1468-2230.12165","ISSN":"0026-7961, 1468-2230","issue":"1","journalAbbr</w:instrText>
      </w:r>
      <w:r w:rsidR="00C04038">
        <w:rPr>
          <w:rFonts w:hint="eastAsia"/>
        </w:rPr>
        <w:instrText>eviation":"Modern Law Review","language":"en","license":"http://onlinelibrary.wiley.com/termsAndConditions#vor","page":"1-30","source":"DOI.org (Crossref)","title":"Law as Information in the Era of Data</w:instrText>
      </w:r>
      <w:r w:rsidR="00C04038">
        <w:rPr>
          <w:rFonts w:hint="eastAsia"/>
        </w:rPr>
        <w:instrText>‐</w:instrText>
      </w:r>
      <w:r w:rsidR="00C04038">
        <w:rPr>
          <w:rFonts w:hint="eastAsia"/>
        </w:rPr>
        <w:instrText>Driven Agency","volume":"79","author":[{"family":"Hi</w:instrText>
      </w:r>
      <w:r w:rsidR="00C04038">
        <w:instrText xml:space="preserve">ldebrandt","given":"Mireille"}],"issued":{"date-parts":[["2016",1]]}}}],"schema":"https://github.com/citation-style-language/schema/raw/master/csl-citation.json"} </w:instrText>
      </w:r>
      <w:r>
        <w:fldChar w:fldCharType="separate"/>
      </w:r>
      <w:r>
        <w:rPr>
          <w:rFonts w:cs="Times New Roman"/>
          <w:kern w:val="0"/>
          <w:lang w:bidi="yi-Hebr"/>
        </w:rPr>
        <w:t xml:space="preserve"> </w:t>
      </w:r>
      <w:r>
        <w:t>Mireille Hildebrandt, Law as Information in the Era of Data-Driven Agency</w:t>
      </w:r>
      <w:r>
        <w:rPr>
          <w:rFonts w:cs="Times New Roman"/>
          <w:kern w:val="0"/>
          <w:lang w:bidi="yi-Hebr"/>
        </w:rPr>
        <w:t>, 79</w:t>
      </w:r>
      <w:r>
        <w:t xml:space="preserve"> Mod. L. Rev. </w:t>
      </w:r>
      <w:r>
        <w:rPr>
          <w:rFonts w:cs="Times New Roman"/>
          <w:kern w:val="0"/>
          <w:lang w:bidi="yi-Hebr"/>
        </w:rPr>
        <w:t>1 (2016).</w:t>
      </w:r>
      <w:r>
        <w:fldChar w:fldCharType="end"/>
      </w:r>
    </w:p>
  </w:footnote>
  <w:footnote w:id="125">
    <w:p w:rsidR="00FA4739" w:rsidRDefault="00FA4739" w14:paraId="18A5767C" w14:textId="57AD9DD6">
      <w:pPr>
        <w:pStyle w:val="FootnoteText"/>
      </w:pPr>
      <w:r>
        <w:rPr>
          <w:rStyle w:val="FootnoteReference"/>
        </w:rPr>
        <w:footnoteRef/>
      </w:r>
      <w:r>
        <w:fldChar w:fldCharType="begin"/>
      </w:r>
      <w:r>
        <w:instrText xml:space="preserve"> ADDIN ZOTERO_ITEM CSL_CITATION {"citationID":"3cVoXUQR","properties":{"formattedCitation":"See {\\scaps John Carroll &amp; Darrell Long}, {\\scaps Theory of Finite Automata: With an Introduction to Formal Languages} (1989) (discussion on finite automata theory and the desire for determinism in computing).","plainCitation":"See John Carroll &amp; Darrell Long, Theory of Finite Automata: With an Introduction to Formal Languages (1989) (discussion on finite automata theory and the desire for determinism in computing).","noteIndex":60},"citationItems":[{"id":207,"uris":["http://zotero.org/users/20142566/items/BQ5HAARH"],"itemData":{"id":207,"type":"book","call-number":"QA267.5.S4 C35 1989","ISBN":"978-0-13-913708-2","number-of-pages":"438","publisher":"Prentice Hall","publisher-place":"Englewood Cliffs, N.J","source":"Library of Congress ISBN","title":"Theory of finite automata: with an introduction to formal languages","title-short":"Theory of finite automata","author":[{"family":"Carroll","given":"John"},{"family":"Long","given":"Darrell"}],"issued":{"date-parts":[["1989"]]}},"prefix":"See","suffix":" (discussion on finite automata theory and the desire for determinism in computing)"}],"schema":"https://github.com/citation-style-language/schema/raw/master/csl-citation.json"} </w:instrText>
      </w:r>
      <w:r>
        <w:fldChar w:fldCharType="separate"/>
      </w:r>
      <w:r w:rsidRPr="00FA4739">
        <w:rPr>
          <w:rFonts w:cs="Times New Roman"/>
          <w:kern w:val="0"/>
        </w:rPr>
        <w:t xml:space="preserve"> 参</w:t>
      </w:r>
      <w:r>
        <w:rPr>
          <w:rFonts w:cs="Times New Roman"/>
          <w:smallCaps/>
          <w:kern w:val="0"/>
        </w:rPr>
        <w:t>见</w:t>
      </w:r>
      <w:r>
        <w:t xml:space="preserve"> John Carroll &amp; Darrell Long</w:t>
      </w:r>
      <w:r w:rsidRPr="00FA4739">
        <w:rPr>
          <w:rFonts w:cs="Times New Roman"/>
          <w:kern w:val="0"/>
        </w:rPr>
        <w:t xml:space="preserve">, </w:t>
      </w:r>
      <w:r>
        <w:t>Theory of Finite Automata: With an Introduction to Formal Languages (1989)（讨论</w:t>
      </w:r>
      <w:r>
        <w:rPr>
          <w:rFonts w:cs="Times New Roman"/>
          <w:kern w:val="0"/>
        </w:rPr>
        <w:t>有限自动机理论</w:t>
      </w:r>
      <w:r>
        <w:t>以</w:t>
      </w:r>
      <w:r>
        <w:rPr>
          <w:rFonts w:cs="Times New Roman"/>
          <w:kern w:val="0"/>
        </w:rPr>
        <w:t>及计算中对确定性的追求</w:t>
      </w:r>
      <w:r>
        <w:rPr>
          <w:rFonts w:cs="Times New Roman"/>
          <w:kern w:val="0"/>
        </w:rPr>
        <w:t>）；</w:t>
      </w:r>
      <w:r>
        <w:t>Monika Zalnieriute, Lyria Bennett Moses &amp; George Williams, The Rule of Law and</w:t>
      </w:r>
      <w:r>
        <w:fldChar w:fldCharType="end"/>
      </w:r>
      <w:r>
        <w:rPr>
          <w:rFonts w:ascii="Times New Roman" w:hAnsi="Times New Roman" w:cs="Times New Roman"/>
        </w:rPr>
        <w:t xml:space="preserve"> </w:t>
      </w:r>
      <w:r>
        <w:t>Automation of Government Decision-Making, 82(3) Mod. L. Rev. 425-455 (2019)</w:t>
      </w:r>
      <w:r>
        <w:rPr>
          <w:rFonts w:ascii="Times New Roman" w:hAnsi="Times New Roman" w:cs="Times New Roman"/>
        </w:rPr>
        <w:t>（“使用以下方式进行自动化对法治价值观的影响：（1）预编程规则（例如专家系统）；以及（2）从历史数据中推导规则的预测性推理”）。</w:t>
      </w:r>
    </w:p>
  </w:footnote>
  <w:footnote w:id="126">
    <w:p w:rsidR="003D5A83" w:rsidRDefault="00000000" w14:paraId="5E001166" w14:textId="77777777">
      <w:pPr>
        <w:pStyle w:val="FootnoteText"/>
      </w:pPr>
      <w:r>
        <w:rPr>
          <w:rStyle w:val="FootnoteReference"/>
        </w:rPr>
        <w:footnoteRef/>
      </w:r>
      <w:r>
        <w:t xml:space="preserve"> 这种分歧并非假设。优化编译器通常会丢弃那些行为在语言标准中未被定义的代码，包括程序员本意要实施的安全检查；一项研究在包括Linux内核在内的广泛使用的系统中发现了160个此类漏洞，这些漏洞随后已被开发人员确认并修复。 Xi Wang、Nickolai Zeldovich、M. Frans Kaashoek 及 Armando Solar-Lezama，</w:t>
      </w:r>
      <w:r>
        <w:rPr>
          <w:i/>
          <w:iCs/>
        </w:rPr>
        <w:t xml:space="preserve">《迈向优化安全系统：分析未定义行为的影响</w:t>
      </w:r>
      <w:r>
        <w:t xml:space="preserve">》，</w:t>
      </w:r>
      <w:r>
        <w:rPr>
          <w:i/>
          <w:iCs/>
        </w:rPr>
        <w:t xml:space="preserve">载于</w:t>
      </w:r>
      <w:r>
        <w:rPr>
          <w:smallCaps/>
        </w:rPr>
        <w:t xml:space="preserve">《第24届ACM操作系统原理研讨会论文集》</w:t>
      </w:r>
      <w:r>
        <w:t xml:space="preserve">（2013），https://doi.org/10.1145/2517349.2522728。 区块链领域提供了一个更为鲜明的例子。</w:t>
      </w:r>
      <w:r>
        <w:t xml:space="preserve">Vyper智能合约编译器的</w:t>
      </w:r>
      <w:r>
        <w:t xml:space="preserve">0.2.15、0.2.16和0.3.0版本中存在一个缺陷</w:t>
      </w:r>
      <w:r>
        <w:t xml:space="preserve">，导致重入锁的分配不正确，使得那些源代码中已采取防重入措施的合约在编译后失去了该保护机制。 2023年7月，Curve Finance及其他平台受影响的资金池遭到攻击，初步估计造成约7000万美元的损失。</w:t>
      </w:r>
      <w:r>
        <w:t xml:space="preserve">参见GitHub安全建议数据库，GHSA-5824-cm3x-3c38（CVE-2023-39363）（2023年8月9日）， https://github.com/advisories/GHSA-5824-cm3x-3c38；</w:t>
      </w:r>
      <w:r>
        <w:t xml:space="preserve">Halborn</w:t>
      </w:r>
      <w:r>
        <w:t xml:space="preserve">，《</w:t>
      </w:r>
      <w:r>
        <w:rPr>
          <w:i/>
          <w:iCs/>
        </w:rPr>
        <w:t xml:space="preserve">详解：</w:t>
      </w:r>
      <w:r>
        <w:rPr>
          <w:i/>
          <w:iCs/>
        </w:rPr>
        <w:t xml:space="preserve">Vyper漏洞攻击事件</w:t>
      </w:r>
      <w:r>
        <w:rPr>
          <w:i/>
          <w:iCs/>
        </w:rPr>
        <w:t xml:space="preserve">》</w:t>
      </w:r>
      <w:r>
        <w:rPr>
          <w:i/>
          <w:iCs/>
        </w:rPr>
        <w:t xml:space="preserve">（2023年7月）</w:t>
      </w:r>
      <w:r>
        <w:t xml:space="preserve">，https://www.halborn.com/blog/post/explained-the-vyper-bug-hack-july-2023。 源代码表达了作者的本意。但编译后的合约却执行了其他操作，而区块链则强制执行了该编译后的合约。</w:t>
      </w:r>
    </w:p>
  </w:footnote>
  <w:footnote w:id="127">
    <w:p w:rsidR="004817E5" w:rsidRDefault="00000000" w14:paraId="4EAD6FBC"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t xml:space="preserve">Mireille Hildebrandt, Algorithmic Regulation and the Rule of Law, </w:t>
      </w:r>
      <w:r>
        <w:rPr>
          <w:rFonts w:ascii="Times New Roman" w:hAnsi="Times New Roman" w:cs="Times New Roman"/>
        </w:rPr>
        <w:t xml:space="preserve">376 (2128) </w:t>
      </w:r>
      <w:r>
        <w:t>Phil. Trans. R. Soc. A 20170355 (2018);</w:t>
      </w:r>
      <w:r>
        <w:rPr>
          <w:rFonts w:ascii="Times New Roman" w:hAnsi="Times New Roman" w:cs="Times New Roman"/>
        </w:rPr>
        <w:t xml:space="preserve"> 可参见 [https://doi.org/10.1098/rsta.2017.0355]（区分了控制论监管——即任何试图影响群体行为的尝试——与法律监管——即由具有政治权限的当局对个人、事物、流程等行使政治权威的文本表述）</w:t>
      </w:r>
      <w:r>
        <w:rPr>
          <w:rFonts w:ascii="Times New Roman" w:hAnsi="Times New Roman" w:cs="Times New Roman"/>
        </w:rPr>
        <w:t>。</w:t>
      </w:r>
    </w:p>
  </w:footnote>
  <w:footnote w:id="128">
    <w:p w:rsidR="00890F2E" w:rsidRDefault="00890F2E" w14:paraId="20E35A4B" w14:textId="69FBF54C">
      <w:pPr>
        <w:pStyle w:val="FootnoteText"/>
      </w:pPr>
      <w:r>
        <w:rPr>
          <w:rStyle w:val="FootnoteReference"/>
        </w:rPr>
        <w:footnoteRef/>
      </w:r>
      <w:r>
        <w:fldChar w:fldCharType="begin"/>
      </w:r>
      <w:r>
        <w:instrText xml:space="preserve"> ADDIN ZOTERO_ITEM CSL_CITATION {"citationID":"Spbuby2u","properties":{"formattedCitation":"{\\scaps Brian Christian}, {\\scaps The Alignment Problem: Machine Learning and Human Values} (2020).","plainCitation":"Brian Christian, The Alignment Problem: Machine Learning and Human Values (2020).","noteIndex":58},"citationItems":[{"id":201,"uris":["http://zotero.org/users/20142566/items/6QCD5DZR"],"itemData":{"id":201,"type":"book","abstract":"\"If you’re going to read one book on artificial intelligence, this is the one.\" —Stephen Marche, New York Times  A jaw-dropping exploration of everything that goes wrong when we build AI systems and the movement to fix them. Today’s “machine-learning” systems, trained by data, are so effective that we’ve invited them to see and hear for us—and to make decisions on our behalf. But alarm bells are ringing. Recent years have seen an eruption of concern as the field of machine learning advances. When the systems we attempt to teach will not, in the end, do what we want or what we expect, ethical and potentially existential risks emerge. Researchers call this the alignment problem. Systems cull résumés until, years later, we discover that they have inherent gender biases. Algorithms decide bail and parole—and appear to assess Black and White defendants differently. We can no longer assume that our mortgage application, or even our medical tests, will be seen by human eyes. And as autonomous vehicles share our streets, we are increasingly putting our lives in their hands. The mathematical and computational models driving these changes range in complexity from something that can fit on a spreadsheet to a complex system that might credibly be called “artificial intelligence.” They are steadily replacing both human judgment and explicitly programmed software. In best-selling author Brian Christian’s riveting account, we meet the alignment problem’s “first-responders,” and learn their ambitious plan to solve it before our hands are completely off the wheel. In a masterful blend of history and on-the ground reporting, Christian traces the explosive growth in the field of machine learning and surveys its current, sprawling frontier. Readers encounter a discipline finding its legs amid exhilarating and sometimes terrifying progress. Whether they—and we—succeed or fail in solving the alignment problem will be a defining human story. The Alignment Problem offers an unflinching reckoning with humanity’s biases and blind spots, our own unstated assumptions and often contradictory goals. A dazzlingly interdisciplinary work, it takes a hard look not only at our technology but at our culture—and finds a story by turns harrowing and hopeful.","ISBN":"978-0-393-63583-6","language":"en","note":"Google-Books-ID: Lh_WDwAAQBAJ","number-of-pages":"461","publisher":"W. W. Norton &amp; Company","source":"Google Books","title":"The Alignment Problem: Machine Learning and Human Values","title-short":"The Alignment Problem","author":[{"family":"Christian","given":"Brian"}],"issued":{"date-parts":[["2020",10,6]]}}}],"schema":"https://github.com/citation-style-language/schema/raw/master/csl-citation.json"} </w:instrText>
      </w:r>
      <w:r>
        <w:fldChar w:fldCharType="separate"/>
      </w:r>
      <w:r w:rsidRPr="00890F2E">
        <w:rPr>
          <w:rFonts w:cs="Times New Roman"/>
          <w:smallCaps/>
          <w:kern w:val="0"/>
        </w:rPr>
        <w:t xml:space="preserve"> 布莱恩·克里斯蒂安</w:t>
      </w:r>
      <w:r w:rsidRPr="00890F2E">
        <w:rPr>
          <w:rFonts w:cs="Times New Roman"/>
          <w:kern w:val="0"/>
        </w:rPr>
        <w:t xml:space="preserve">, </w:t>
      </w:r>
      <w:r w:rsidRPr="00890F2E">
        <w:rPr>
          <w:rFonts w:cs="Times New Roman"/>
          <w:smallCaps/>
          <w:kern w:val="0"/>
        </w:rPr>
        <w:t xml:space="preserve"> 《对齐问题：机器学习与人类价值观》</w:t>
      </w:r>
      <w:r w:rsidRPr="00890F2E">
        <w:rPr>
          <w:rFonts w:cs="Times New Roman"/>
          <w:kern w:val="0"/>
        </w:rPr>
        <w:t xml:space="preserve"> (2020).</w:t>
      </w:r>
      <w:r>
        <w:fldChar w:fldCharType="end"/>
      </w:r>
    </w:p>
  </w:footnote>
  <w:footnote w:id="129">
    <w:p w:rsidR="00133890" w:rsidRDefault="00133890" w14:paraId="68D72277" w14:textId="0F7D1272">
      <w:pPr>
        <w:pStyle w:val="FootnoteText"/>
      </w:pPr>
      <w:r>
        <w:rPr>
          <w:rStyle w:val="FootnoteReference"/>
        </w:rPr>
        <w:footnoteRef/>
      </w:r>
      <w:r>
        <w:fldChar w:fldCharType="begin"/>
      </w:r>
      <w:r>
        <w:instrText xml:space="preserve"> ADDIN ZOTERO_ITEM CSL_CITATION {"citationID":"R9fmEpzH","properties":{"formattedCitation":"M. O. Rabin &amp; D. Scott, {\\i{}Finite Automata and Their Decision Problems}, 3 {\\scaps IBM J. Res. Dev.} 114 (1959).","plainCitation":"M. O. Rabin &amp; D. Scott, Finite Automata and Their Decision Problems, 3 IBM J. Res. Dev. 114 (1959).","noteIndex":62},"citationItems":[{"id":210,"uris":["http://zotero.org/users/20142566/items/KVWGC5IM"],"itemData":{"id":210,"type":"article-journal","abstract":"Finite automata are considered in this paper as instruments for classifying finite tapes. Each one-tape automaton defines a set of tapes, a two-tape automaton defines a set of pairs of tapes, et cetera. The structure of the defined sets is studied. Various generalizations of the notion of an automaton are introduced and their relation to the classical automata is determined. Some decision problems concerning automata are shown to be solvable by effective algorithms; others turn out to be unsolvable by algorithms.","container-title":"IBM Journal of Research and Development","DOI":"10.1147/rd.32.0114","ISSN":"0018-8646","issue":"2","page":"114-125","source":"IEEE Xplore","title":"Finite Automata and Their Decision Problems","volume":"3","author":[{"family":"Rabin","given":"M. O."},{"family":"Scott","given":"D."}],"issued":{"date-parts":[["1959",4]]}}}],"schema":"https://github.com/citation-style-language/schema/raw/master/csl-citation.json"} </w:instrText>
      </w:r>
      <w:r>
        <w:fldChar w:fldCharType="separate"/>
      </w:r>
      <w:r>
        <w:rPr>
          <w:rFonts w:cs="Times New Roman"/>
          <w:kern w:val="0"/>
        </w:rPr>
        <w:t xml:space="preserve"> M. O. </w:t>
      </w:r>
      <w:r>
        <w:t>Rabin</w:t>
      </w:r>
      <w:r>
        <w:rPr>
          <w:rFonts w:cs="Times New Roman"/>
          <w:kern w:val="0"/>
        </w:rPr>
        <w:t xml:space="preserve"> &amp; D. </w:t>
      </w:r>
      <w:r>
        <w:t>Scott, Finite Automata and Their Decision Problems</w:t>
      </w:r>
      <w:r>
        <w:rPr>
          <w:rFonts w:cs="Times New Roman"/>
          <w:kern w:val="0"/>
        </w:rPr>
        <w:t>, 3</w:t>
      </w:r>
      <w:r>
        <w:t xml:space="preserve"> IBM J. Res. Dev. </w:t>
      </w:r>
      <w:r>
        <w:rPr>
          <w:rFonts w:cs="Times New Roman"/>
          <w:kern w:val="0"/>
        </w:rPr>
        <w:t>114 (1959).</w:t>
      </w:r>
      <w:r>
        <w:fldChar w:fldCharType="end"/>
      </w:r>
    </w:p>
  </w:footnote>
  <w:footnote w:id="130">
    <w:p w:rsidR="00C04038" w:rsidRDefault="00C04038" w14:paraId="418DC9EA" w14:textId="4DD51DDD">
      <w:pPr>
        <w:pStyle w:val="FootnoteText"/>
      </w:pPr>
      <w:r>
        <w:rPr>
          <w:rStyle w:val="FootnoteReference"/>
        </w:rPr>
        <w:footnoteRef/>
      </w:r>
      <w:r>
        <w:fldChar w:fldCharType="begin"/>
      </w:r>
      <w:r>
        <w:instrText xml:space="preserve"> ADDIN ZOTERO_ITEM CSL_CITATION {"citationID":"1yBLctWb","properties":{"formattedCitation":"See Mike Isaac &amp; Erin Griffith, {\\i{}The Big Bang: A.I. Has Created a Code Overload}, {\\scaps The New York Times}, Apr. 6, 2026, https://www.nytimes.com/2026/04/06/technology/ai-code-overload.html.","plainCitation":"See Mike Isaac &amp; Erin Griffith, The Big Bang: A.I. Has Created a Code Overload, The New York Times, Apr. 6, 2026, https://www.nytimes.com/2026/04/06/technology/ai-code-overload.html.","noteIndex":49},"citationItems":[{"id":78,"uris":["http://zotero.org/users/20142566/items/PP2Z33MN"],"itemData":{"id":78,"type":"article-newspaper","abstract":"Companies are scrambling to deal with the glut.","container-title":"The New York Times","ISSN":"0362-4331","language":"en-US","section":"Technology","source":"NYTimes.com","title":"The Big Bang: A.I. Has Created a Code Overload","title-short":"The Big Bang","URL":"https://www.nytimes.com/2026/04/06/technology/ai-code-overload.html","author":[{"family":"Isaac","given":"Mike"},{"family":"Griffith","given":"Erin"}],"accessed":{"date-parts":[["2026",4,9]]},"issued":{"date-parts":[["2026",4,6]]}},"prefix":"See"}],"schema":"https://github.com/citation-style-language/schema/raw/master/csl-citation.json"} </w:instrText>
      </w:r>
      <w:r>
        <w:fldChar w:fldCharType="separate"/>
      </w:r>
      <w:r>
        <w:rPr>
          <w:rFonts w:cs="Times New Roman"/>
          <w:kern w:val="0"/>
        </w:rPr>
        <w:t xml:space="preserve"> 参见</w:t>
      </w:r>
      <w:r>
        <w:t xml:space="preserve"> Mike Isaac &amp; Erin Griffith</w:t>
      </w:r>
      <w:r w:rsidRPr="00C04038">
        <w:rPr>
          <w:rFonts w:cs="Times New Roman"/>
          <w:kern w:val="0"/>
        </w:rPr>
        <w:t xml:space="preserve">, </w:t>
      </w:r>
      <w:r>
        <w:t>The Big Bang: A.I. Has Created a Code Overload, The New York Times, Apr. 6, 2026, https://www.nytimes.com/2026/04/06/technology/ai-code-overload.html.</w:t>
      </w:r>
      <w:r>
        <w:fldChar w:fldCharType="end"/>
      </w:r>
    </w:p>
  </w:footnote>
  <w:footnote w:id="131">
    <w:p w:rsidR="00ED648A" w:rsidRDefault="00ED648A" w14:paraId="31696CDE" w14:textId="351DC8E0">
      <w:pPr>
        <w:pStyle w:val="FootnoteText"/>
      </w:pPr>
      <w:r>
        <w:rPr>
          <w:rStyle w:val="FootnoteReference"/>
        </w:rPr>
        <w:footnoteRef/>
      </w:r>
      <w:r>
        <w:fldChar w:fldCharType="begin"/>
      </w:r>
      <w:r w:rsidR="00C04038">
        <w:instrText xml:space="preserve"> ADDIN ZOTERO_ITEM CSL_CITATION {"citationID":"sjSsPeTj","properties":{"formattedCitation":"Natalia Buitron &amp; Hans Steinm\\uc0\\u252{}ller, {\\i{}Governing Opacity: Regimes of Intention Management and Tools of Legibility}, 88 {\\scaps Ethnos} 677 (2023).","plainCitation":"Natalia Buitron &amp; Hans Steinmüller, Governing Opacity: Regimes of Intention Management and Tools of Legibility, 88 Ethnos 677 (2023).","noteIndex":50},"citationItems":[{"id":146,"uris":["http://zotero.org/users/20142566/items/YKXEZ8Q6"],"itemData":{"id":146,"type":"article-journal","abstract":"The intentions of others are ultimately opaque: we can never know exactly the mind of someone else. Yet humans continually attempt to ‘read’ the mental states of others and throughout history have created institutions that attempt to do so by managing intentions and thus addressing the opacity of other minds. The contributors of this special issue argue that the form in which we meet the fundamental challenge of the opacity of mind is decisive for the kinds of government we are able to imagine. Our introduction provides the framework for the exploration of the correlations between the management of opacity and the forms of government humans create. We draw attention to different ways of creating legibility, and corresponding practices of accountability, thus linking particular forms of intention management with particular ways of doing and imagining politics.","container-title":"Ethnos","DOI":"10.1080/00141844.2021.2007154","ISSN":"0014-1844","issue":"4","note":"_eprint: https://doi.org/10.1080/00141844.2021.2007154","page":"677-701","publisher":"Routledge","source":"Taylor and Francis+NEJM","title":"Governing Opacity: Regimes of Intention Management and Tools of Legibility","title-short":"Governing Opacity","volume":"88","author":[{"family":"Buitron","given":"Natalia"},{"family":"Steinmüller","given":"Hans"}],"issued":{"date-parts":[["2023",8,8]]}}}],"schema":"https://github.com/citation-style-language/schema/raw/master/csl-citation.json"} </w:instrText>
      </w:r>
      <w:r>
        <w:fldChar w:fldCharType="separate"/>
      </w:r>
      <w:r>
        <w:rPr>
          <w:rFonts w:cs="Times New Roman"/>
          <w:kern w:val="0"/>
          <w:lang w:bidi="yi-Hebr"/>
        </w:rPr>
        <w:t xml:space="preserve"> </w:t>
      </w:r>
      <w:r>
        <w:t>Natalia Buitron &amp; Hans Steinmüller, Governing Opacity: Regimes of Intention Management and Tools of Legibility</w:t>
      </w:r>
      <w:r>
        <w:rPr>
          <w:rFonts w:cs="Times New Roman"/>
          <w:kern w:val="0"/>
          <w:lang w:bidi="yi-Hebr"/>
        </w:rPr>
        <w:t>, 88</w:t>
      </w:r>
      <w:r>
        <w:t xml:space="preserve"> Ethnos</w:t>
      </w:r>
      <w:r w:rsidRPr="00ED648A">
        <w:rPr>
          <w:rFonts w:cs="Times New Roman"/>
          <w:kern w:val="0"/>
          <w:lang w:bidi="yi-Hebr"/>
        </w:rPr>
        <w:t xml:space="preserve"> 677 (2023).</w:t>
      </w:r>
      <w:r>
        <w:fldChar w:fldCharType="end"/>
      </w:r>
      <w:r>
        <w:rPr>
          <w:i/>
          <w:iCs/>
        </w:rPr>
        <w:t xml:space="preserve"> </w:t>
      </w:r>
      <w:r>
        <w:t>另见 James C. Scott, Seeing Like a State: How Certain Schemes to Improve the Human Condition Have Failed (1998)</w:t>
      </w:r>
      <w:r>
        <w:t>（可读性作为</w:t>
      </w:r>
      <w:r>
        <w:t>国</w:t>
      </w:r>
      <w:r>
        <w:t>家治</w:t>
      </w:r>
      <w:r>
        <w:t>理</w:t>
      </w:r>
      <w:r>
        <w:t>的核心问题）。</w:t>
      </w:r>
    </w:p>
  </w:footnote>
  <w:footnote w:id="132">
    <w:p w:rsidRPr="00FA1982" w:rsidR="004817E5" w:rsidRDefault="00000000" w14:paraId="6EA46B0B" w14:textId="77777777">
      <w:pPr>
        <w:pStyle w:val="FootnoteText"/>
        <w:rPr>
          <w:rFonts w:ascii="Times New Roman" w:hAnsi="Times New Roman" w:cs="Times New Roman"/>
          <w:lang w:val="fr-FR"/>
        </w:rPr>
      </w:pPr>
      <w:r>
        <w:rPr>
          <w:rStyle w:val="FootnoteReference"/>
          <w:rFonts w:ascii="Times New Roman" w:hAnsi="Times New Roman" w:cs="Times New Roman"/>
        </w:rPr>
        <w:footnoteRef/>
      </w:r>
      <w:r>
        <w:rPr>
          <w:rFonts w:ascii="Times New Roman" w:hAnsi="Times New Roman" w:cs="Times New Roman"/>
        </w:rPr>
        <w:t xml:space="preserve"> 参见</w:t>
      </w:r>
      <w:r>
        <w:t xml:space="preserve"> Caja Thimm, Gabriele Grameslsberger, Maximillian Mayer &amp; Frank Piller, From Automation to Autonomy: Human Machine Relations in the Age of Artificial Intelligence, 9 Human-Machine Communication 7-24 (2024)</w:t>
      </w:r>
      <w:r>
        <w:rPr>
          <w:rFonts w:ascii="Times New Roman" w:hAnsi="Times New Roman" w:cs="Times New Roman"/>
        </w:rPr>
        <w:t>（</w:t>
      </w:r>
      <w:r>
        <w:rPr>
          <w:rFonts w:ascii="Times New Roman" w:hAnsi="Times New Roman" w:cs="Times New Roman"/>
        </w:rPr>
        <w:t>自主性</w:t>
      </w:r>
      <w:r>
        <w:t>作</w:t>
      </w:r>
      <w:r>
        <w:rPr>
          <w:rFonts w:ascii="Times New Roman" w:hAnsi="Times New Roman" w:cs="Times New Roman"/>
        </w:rPr>
        <w:t>为一个渐进的、关系性的和归因性的概念）；</w:t>
      </w:r>
      <w:r>
        <w:t>Chinedu</w:t>
      </w:r>
      <w:r>
        <w:rPr>
          <w:rFonts w:ascii="Times New Roman" w:hAnsi="Times New Roman" w:cs="Times New Roman"/>
        </w:rPr>
        <w:t xml:space="preserve"> </w:t>
      </w:r>
      <w:r>
        <w:t>Pascal Ezenkwu &amp; Andrew Starkey, Machine Autonomy: Definition, Approaches, Challenges and Research Gaps, in Intelligent Computing (Arai</w:t>
      </w:r>
      <w:r>
        <w:rPr>
          <w:rFonts w:ascii="Times New Roman" w:hAnsi="Times New Roman" w:cs="Times New Roman"/>
        </w:rPr>
        <w:t xml:space="preserve">, K., Bhatia, R., </w:t>
      </w:r>
      <w:r>
        <w:t>Kapoor, S. eds., CompCom, 2019), https://doi.org/10.1007/978-3-030-22871-2_24.</w:t>
      </w:r>
    </w:p>
  </w:footnote>
  <w:footnote w:id="133">
    <w:p w:rsidRPr="00FA1982" w:rsidR="0005150F" w:rsidRDefault="0005150F" w14:paraId="11BB706D" w14:textId="03B2483B">
      <w:pPr>
        <w:pStyle w:val="FootnoteText"/>
        <w:rPr>
          <w:lang w:val="fr-FR"/>
        </w:rPr>
      </w:pPr>
      <w:r>
        <w:rPr>
          <w:rStyle w:val="FootnoteReference"/>
        </w:rPr>
        <w:footnoteRef/>
      </w:r>
      <w:r>
        <w:fldChar w:fldCharType="begin"/>
      </w:r>
      <w:r w:rsidRPr="00FA1982" w:rsidR="00C04038">
        <w:rPr>
          <w:lang w:val="fr-FR"/>
        </w:rPr>
        <w:instrText xml:space="preserve"> ADDIN ZOTERO_ITEM CSL_CITATION {"citationID":"gXFbg6Vv","properties":{"formattedCitation":"Ronald M. Kaplan et al., {\\i{}Translation by Structural Correspondences}, {\\i{}in} {\\scaps Proceedings of the fourth conference on European chapter of the Association for Computational Linguistics  -} 272 (1989), http://portal.acm.org/citation.cfm?doid=976815.976852; Louisa Sadler &amp; Henry S. Thompson, {\\i{}Structural Non-Correspondence in Translation}, {\\i{}in} {\\scaps Proceedings of the fifth conference on European chapter of the Association for Computational Linguistics  -} 293 (1991), http://portal.acm.org/citation.cfm?doid=977180.977231.","plainCitation":"Ronald M. Kaplan et al., Translation by Structural Correspondences, in Proceedings of the fourth conference on European chapter of the Association for Computational Linguistics  - 272 (1989), http://portal.acm.org/citation.cfm?doid=976815.976852; Louisa Sadler &amp; Henry S. Thompson, Structural Non-Correspondence in Translation, in Proceedings of the fifth conference on European chapter of the Association for Computational Linguistics  - 293 (1991), http://portal.acm.org/citation.cfm?doid=977180.977231.","noteIndex":51},"citationItems":[{"id":143,"uris":["http://zotero.org/users/20142566/items/WS4D6FKT"],"itemData":{"id":143,"type":"paper-conference","container-title":"Proceedings of the fourth conference on European chapter of the Association for Computational Linguistics  -","DOI":"10.3115/976815.976852","event-title":"the fourth conference","language":"en","page":"272-281","publisher":"Association for Computational Linguistics","publisher-place":"Manchester, England","source":"DOI.org (Crossref)","title":"Translation by structural correspondences","URL":"http://portal.acm.org/citation.cfm?doid=976815.976852","author":[{"family":"Kaplan","given":"Ronald M."},{"family":"Netter","given":"Klaus"},{"family":"Wedekind","given":"Jürgen"},{"family":"Zaenen","given":"Annie"}],"accessed":{"date-parts":[["2026",4,13]]},"issued":{"date-parts":[["1989"]]}}},{"id":145,"uris":["http://zotero.org/users/20142566/items/WJIXFA47"],"itemData":{"id":145,"type":"paper-conference","abstract":"Kaplan et al (1989) present an approach to machine translation based on co-description. In this paper we show that the notation is not as natural and expressive as it appears. We first show that the most natural analysis proposed in Kaplan et al (1989) cannot in fact cover the range of data for the important translational phenomenon in question. This contribution extends the work reported on in Sadler et al (1989) and Sadler et al (1990). We then go on to discuss alternatives which depart from or extend the formalism proposed in Kaplan et al (1989) in various respects, pointing out some directions for further research. The strategies discussed have been implemented.","container-title":"Proceedings of the fifth conference on European chapter of the Association for Computational Linguistics  -","DOI":"10.3115/977180.977231","event-title":"the fifth conference","language":"en","page":"293-298","publisher":"Association for Computational Linguistics","publisher-place":"Berlin, Germany","source":"DOI.org (Crossref)","title":"Structural non-correspondence in translation","URL":"http://portal.acm.org/citation.cfm?doid=977180.977231","author":[{"family":"Sadler","given":"Louisa"},{"family":"Thompson","given":"Henry S."}],"accessed":{"date-parts":[["2026",4,13]]},"issued":{"date-parts":[["1991"]]}}}],"schema":"https://github.com/citation-style-language/schema/raw/master/csl-citation.json"} </w:instrText>
      </w:r>
      <w:r>
        <w:fldChar w:fldCharType="separate"/>
      </w:r>
      <w:r>
        <w:rPr>
          <w:rFonts w:cs="Times New Roman"/>
          <w:kern w:val="0"/>
          <w:lang w:val="fr-FR" w:bidi="yi-Hebr"/>
        </w:rPr>
        <w:t xml:space="preserve"> </w:t>
      </w:r>
      <w:r>
        <w:t>Ronald M. Kaplan et al., Translation by Structural Correspondences</w:t>
      </w:r>
      <w:r w:rsidRPr="00FA1982">
        <w:rPr>
          <w:rFonts w:cs="Times New Roman"/>
          <w:kern w:val="0"/>
          <w:lang w:val="fr-FR" w:bidi="yi-Hebr"/>
        </w:rPr>
        <w:t xml:space="preserve">, </w:t>
      </w:r>
      <w:r>
        <w:t>in Proceedings of the Fourth Conference on European Chapter of the Association for Computational Linguistics</w:t>
      </w:r>
      <w:r>
        <w:rPr>
          <w:rFonts w:cs="Times New Roman"/>
          <w:kern w:val="0"/>
          <w:lang w:val="fr-FR" w:bidi="yi-Hebr"/>
        </w:rPr>
        <w:t xml:space="preserve"> 272 </w:t>
      </w:r>
      <w:r>
        <w:t>(1989), http://portal.acm.org/citation.cfm?doid=976815.976852;</w:t>
      </w:r>
      <w:r>
        <w:rPr>
          <w:rFonts w:cs="Times New Roman"/>
          <w:kern w:val="0"/>
          <w:lang w:val="fr-FR" w:bidi="yi-Hebr"/>
        </w:rPr>
        <w:t xml:space="preserve"> Louisa Sadler </w:t>
      </w:r>
      <w:r>
        <w:t>&amp;</w:t>
      </w:r>
      <w:r>
        <w:rPr>
          <w:rFonts w:cs="Times New Roman"/>
          <w:kern w:val="0"/>
          <w:lang w:val="fr-FR" w:bidi="yi-Hebr"/>
        </w:rPr>
        <w:t xml:space="preserve"> Henry S. Thompson</w:t>
      </w:r>
      <w:r w:rsidRPr="00FA1982">
        <w:rPr>
          <w:rFonts w:cs="Times New Roman"/>
          <w:kern w:val="0"/>
          <w:lang w:val="fr-FR" w:bidi="yi-Hebr"/>
        </w:rPr>
        <w:t xml:space="preserve">, </w:t>
      </w:r>
      <w:r>
        <w:t>Structural Non-Correspondence in Translation, in Proceedings of the Fifth Conference on European Chapter of the Association for Computational Linguistics</w:t>
      </w:r>
      <w:r>
        <w:rPr>
          <w:rFonts w:cs="Times New Roman"/>
          <w:kern w:val="0"/>
          <w:lang w:val="fr-FR" w:bidi="yi-Hebr"/>
        </w:rPr>
        <w:t xml:space="preserve"> 293 </w:t>
      </w:r>
      <w:r>
        <w:t>(1991), http://portal.acm.org/citation.cfm?doid=977180.977231.</w:t>
      </w:r>
      <w:r>
        <w:fldChar w:fldCharType="end"/>
      </w:r>
    </w:p>
  </w:footnote>
  <w:footnote w:id="134">
    <w:p w:rsidR="003D5A83" w:rsidRDefault="00000000" w14:paraId="43A8627A" w14:textId="77777777">
      <w:pPr>
        <w:pStyle w:val="FootnoteText"/>
      </w:pPr>
      <w:r>
        <w:rPr>
          <w:rStyle w:val="FootnoteReference"/>
        </w:rPr>
        <w:footnoteRef/>
      </w:r>
      <w:r>
        <w:t xml:space="preserve"> </w:t>
      </w:r>
      <w:r>
        <w:rPr>
          <w:i/>
          <w:iCs/>
        </w:rPr>
        <w:t xml:space="preserve">参见</w:t>
      </w:r>
      <w:r>
        <w:t xml:space="preserve">，</w:t>
      </w:r>
      <w:r>
        <w:rPr>
          <w:i/>
          <w:iCs/>
        </w:rPr>
        <w:t xml:space="preserve">例如</w:t>
      </w:r>
      <w:r>
        <w:t xml:space="preserve">，Anthropic，</w:t>
      </w:r>
      <w:r>
        <w:rPr>
          <w:i/>
          <w:iCs/>
        </w:rPr>
        <w:t xml:space="preserve">《Claude Code 工作原理</w:t>
      </w:r>
      <w:r>
        <w:t xml:space="preserve">》，Claude Code 文档， https://code.claude.com/docs/en/how-claude-code-works（最后访问日期：2026年10月26日）（描述了一种代理循环：模型在用户选择的任何权限模式下，会读取代码库、编辑文件、运行测试和命令，并在无需征得用户同意的情况下采取行动）； GitHub，</w:t>
      </w:r>
      <w:r>
        <w:rPr>
          <w:i/>
          <w:iCs/>
        </w:rPr>
        <w:t xml:space="preserve">《启动 GitHub Copilot 会话</w:t>
      </w:r>
      <w:r>
        <w:t xml:space="preserve">》，GitHub 文档，https://docs.github.com/en/copilot/how-tos/use-copilot-agents/coding-agent/create-a-pr（最后访问日期：2026 年 10 月 26 日）（该代理在后台运行并发起拉取请求）。权限设置本身即属于下文所述“门”的一种实例。</w:t>
      </w:r>
    </w:p>
  </w:footnote>
  <w:footnote w:id="135">
    <w:p w:rsidR="00211F20" w:rsidRDefault="00211F20" w14:paraId="71D157E8" w14:textId="038BCD66">
      <w:pPr>
        <w:pStyle w:val="FootnoteText"/>
      </w:pPr>
      <w:r>
        <w:rPr>
          <w:rStyle w:val="FootnoteReference"/>
        </w:rPr>
        <w:footnoteRef/>
      </w:r>
      <w:r>
        <w:fldChar w:fldCharType="begin"/>
      </w:r>
      <w:r w:rsidR="00C04038">
        <w:instrText xml:space="preserve"> ADDIN ZOTERO_ITEM CSL_CITATION {"citationID":"1Vi6BNiN","properties":{"formattedCitation":"See generally Benedikt Z\\uc0\\u246{}nnchen, Mariya Dzhimova &amp; Gudrun Socher, {\\i{}From Intelligence to Autopoiesis: Rethinking Artificial Intelligence through Systems Theory}, 10 {\\scaps Front. Commun.} (2025), https://www.frontiersin.org/journals/communication/articles/10.3389/fcomm.2025.1585321/full; Jesper T\\uc0\\u230{}kke, {\\i{}Generative AI\\uc0\\u8212{}the Transgression of Technology}, n/a {\\scaps Syst. Res. Behav. Sci.}, https://onlinelibrary.wiley.com/doi/abs/10.1002/sres.70045 (last visited Apr. 13, 2026); Jaime F. C\\uc0\\u225{}rdenas-Garc\\uc0\\u237{}a, {\\i{}Info-Autopoiesis and the Limits of Artificial General Intelligence}, 12 {\\scaps Computers} 102 (2023).","plainCitation":"See generally Benedikt Zönnchen, Mariya Dzhimova &amp; Gudrun Socher, From Intelligence to Autopoiesis: Rethinking Artificial Intelligence through Systems Theory, 10 Front. Commun. (2025), https://www.frontiersin.org/journals/communication/articles/10.3389/fcomm.2025.1585321/full; Jesper Tække, Generative AI—the Transgression of Technology, n/a Syst. Res. Behav. Sci., https://onlinelibrary.wiley.com/doi/abs/10.1002/sres.70045 (last visited Apr. 13, 2026); Jaime F. Cárdenas-García, Info-Autopoiesis and the Limits of Artificial General Intelligence, 12 Computers 102 (2023).","noteIndex":52},"citationItems":[{"id":140,"uris":["http://zotero.org/users/20142566/items/SV2BQDCI"],"itemData":{"id":140,"type":"article-journal","abstract":"The rapid advancements in the field of artificial intelligence (AI) have reinvigorated profound debates on the nature of intelligence, consciousness, and communication. Large language models (LLMs), in particular, are at the center of these discussions, as they generate complex linguistic patterns and challenge the traditional distinction between machine computation and human understanding. While LLMs are often seen as highly advanced statistical systems that generate text based on probabilistic patterns, both laypeople and experts tend to attribute human-like qualities to them.This article analyzes AI, particularly LLMs, from a systems-theoretical perspective and examines the extent to which these models can be understood as autopoietic, operationally closed systems. Building on Luhmann's system theory, it is argued that classical Turing machines are not sense-making systems, as they lack both self-reference in the sense of re-entry and the ability to make contingent selections from possibilities. In contrast, artificial neural networks (ANNs) exhibit a novel, loosely coupled interaction with social systems, as they can extract patterns from societal communication. This form of coupling differentiates them from classical software and positions them as hybrid systems that, while lacking their own mental states, are nonetheless deeply embedded in the structures of societal meaning production. The paper argues that LLMs should neither be regarded as purely technical tools nor as genuine cognitive entities. Instead, it proposes understanding their functioning as a new form of artificial meaning production—not as independent thinking, but as a recursive reflection of socially shaped linguistic patterns. This perspective not only opens new insights into the relationship between humans and machines but also calls for a critical reflection on how AI technologies are transforming our understanding of communication and cognition.","container-title":"Frontiers in Communication","DOI":"10.3389/fcomm.2025.1585321","ISSN":"2297-900X","journalAbbreviation":"Front. Commun.","language":"English","publisher":"Frontiers","source":"Frontiers","title":"From intelligence to autopoiesis: rethinking artificial intelligence through systems theory","title-short":"From intelligence to autopoiesis","URL":"https://www.frontiersin.org/journals/communication/articles/10.3389/fcomm.2025.1585321/full","volume":"10","author":[{"family":"Zönnchen","given":"Benedikt"},{"family":"Dzhimova","given":"Mariya"},{"family":"Socher","given":"Gudrun"}],"accessed":{"date-parts":[["2026",4,13]]},"issued":{"date-parts":[["2025",5,19]]}},"prefix":"See generally"},{"id":141,"uris":["http://zotero.org/users/20142566/items/988U7LNB"],"itemData":{"id":141,"type":"article-journal","abstract":"This article offers a systems-theoretical analysis of generative artificial intelligence (GenAI) grounded in Niklas Luhmann's sociology of technology. It addresses a central conceptual problem: How GenAI can be understood within a theoretical framework that has traditionally defined technology as a means of stabilising action through causal closure and repeatable decision premises. Reconstructing Luhmann's concept of technology in a text-near manner, the article argues that GenAI should neither be understood as an autopoietic system nor as a mere extension of deterministic technology. Instead, GenAI is analysed as a form of nontrivial technology whose stochastic operations undermine the expectation of causal stability while remaining embedded in organisational decision structures. In this sense, GenAI constitutes a transgression of the Weberian–Luhmannian concept of technology: Causal closure is retained, but causal stability is no longer guaranteed. The article shows how GenAI externalises and operationalises contingency, requiring organisations to reflexively translate probabilistic outputs into meaningful decisions. By situating GenAI within debates on autopoiesis, nontriviality and technology, the article clarifies the conceptual limits of existing system-theoretical approaches and outlines the contours of nontrivial technology as a distinct sociological phenomenon.","container-title":"Systems Research and Behavioral Science","DOI":"10.1002/sres.70045","ISSN":"1099-1743","issue":"n/a","language":"en","license":"© 2026 The Author(s). Systems Research and Behavioral Science published by International Federation for Systems Research and John Wiley &amp; Sons Ltd.","note":"_eprint: https://onlinelibrary.wiley.com/doi/pdf/10.1002/sres.70045","source":"Wiley Online Library","title":"Generative AI—the Transgression of Technology","URL":"https://onlinelibrary.wiley.com/doi/abs/10.1002/sres.70045","volume":"n/a","author":[{"family":"Tække","given":"Jesper"}],"accessed":{"date-parts":[["2026",4,13]]}}},{"id":142,"uris":["http://zotero.org/users/20142566/items/6USEGQ5W"],"itemData":{"id":142,"type":"article-journal","abstract":"Recent developments, begun by the ascending spiral of the anticipated endless prospects of ChatGPT, promote artificial intelligence (AI) as an indispensable tool and commodity whose time has come. Yet the sinister specter of a technology that has hidden and unmanageable attributes that might be harmful to society looms in the background, as well as the likelihood that it will never deliver on the purported promise of artificial general intelligence (AGI). Currently, the prospects for the development of AI and AGI are more a matter of opinion than based on a consistent methodological approach. Thus, there is a need to take a step back to develop a general framework from which to evaluate current AI efforts, which also permits the determination of the limits to its future prospects as AGI. To gain insight into the development of a general framework, a key question needs to be resolved: what is the connection between human intelligence and machine intelligence? This is the question that needs a response because humans are at the center of AI creation and realize that, without an understanding of how we become what we become, we have no chance of finding a solution. This work proposes info-autopoiesis, the self-referential, recursive, and interactive process of self-production of information, as the needed general framework. Info-autopoiesis shows how the key ingredient of information is fundamental to an insightful resolution to this crucial question and allows predictions as to the present and future of AGI.","container-title":"Computers","DOI":"10.3390/computers12050102","ISSN":"2073-431X","issue":"5","language":"en","license":"http://creativecommons.org/licenses/by/3.0/","page":"102","publisher":"Multidisciplinary Digital Publishing Institute","source":"www.mdpi.com","title":"Info-Autopoiesis and the Limits of Artificial General Intelligence","volume":"12","author":[{"family":"Cárdenas-García","given":"Jaime F."}],"issued":{"date-parts":[["2023",5]]}}}],"schema":"https://github.com/citation-style-language/schema/raw/master/csl-citation.json"} </w:instrText>
      </w:r>
      <w:r>
        <w:fldChar w:fldCharType="separate"/>
      </w:r>
      <w:r w:rsidRPr="00211F20">
        <w:rPr>
          <w:rFonts w:cs="Times New Roman"/>
          <w:kern w:val="0"/>
          <w:lang w:bidi="yi-Hebr"/>
        </w:rPr>
        <w:t xml:space="preserve"> 参见 Benedikt </w:t>
      </w:r>
      <w:r w:rsidRPr="00211F20">
        <w:rPr>
          <w:rFonts w:cs="Times New Roman"/>
          <w:kern w:val="0"/>
          <w:lang w:bidi="yi-Hebr"/>
        </w:rPr>
        <w:t xml:space="preserve">Zönnchen</w:t>
      </w:r>
      <w:r>
        <w:t xml:space="preserve">, </w:t>
      </w:r>
      <w:r>
        <w:rPr>
          <w:rFonts w:cs="Times New Roman"/>
          <w:kern w:val="0"/>
          <w:lang w:bidi="yi-Hebr"/>
        </w:rPr>
        <w:t xml:space="preserve">Mariya Dzhimova </w:t>
      </w:r>
      <w:r>
        <w:t>&amp;</w:t>
      </w:r>
      <w:r>
        <w:rPr>
          <w:rFonts w:cs="Times New Roman"/>
          <w:kern w:val="0"/>
          <w:lang w:bidi="yi-Hebr"/>
        </w:rPr>
        <w:t xml:space="preserve"> Gudrun Socher</w:t>
      </w:r>
      <w:r>
        <w:t>,</w:t>
      </w:r>
      <w:r>
        <w:rPr>
          <w:rFonts w:cs="Times New Roman"/>
          <w:kern w:val="0"/>
          <w:lang w:bidi="yi-Hebr"/>
        </w:rPr>
        <w:t xml:space="preserve"> </w:t>
      </w:r>
      <w:r>
        <w:t>From Intelligence to Autopoiesis: Rethinking Artificial Intelligence through Systems Theory</w:t>
      </w:r>
      <w:r>
        <w:rPr>
          <w:rFonts w:cs="Times New Roman"/>
          <w:kern w:val="0"/>
          <w:lang w:bidi="yi-Hebr"/>
        </w:rPr>
        <w:t>, 10</w:t>
      </w:r>
      <w:r>
        <w:t xml:space="preserve"> Front. Commun. (2025), https://www.frontiersin.org/journals/communication/articles/10.3389/fcomm.2025.1585321/full; </w:t>
      </w:r>
      <w:r>
        <w:rPr>
          <w:rFonts w:cs="Times New Roman"/>
          <w:kern w:val="0"/>
          <w:lang w:bidi="yi-Hebr"/>
        </w:rPr>
        <w:t>Jesper Tække</w:t>
      </w:r>
      <w:r>
        <w:t xml:space="preserve">, Generative AI—the Transgression of Technology, n/a </w:t>
      </w:r>
      <w:r>
        <w:rPr>
          <w:rFonts w:cs="Times New Roman"/>
          <w:smallCaps/>
          <w:kern w:val="0"/>
          <w:lang w:bidi="yi-Hebr"/>
        </w:rPr>
        <w:t xml:space="preserve">Syst. Res. </w:t>
      </w:r>
      <w:r w:rsidRPr="00211F20">
        <w:rPr>
          <w:rFonts w:cs="Times New Roman"/>
          <w:smallCaps/>
          <w:kern w:val="0"/>
          <w:lang w:bidi="yi-Hebr"/>
        </w:rPr>
        <w:t xml:space="preserve">Behav</w:t>
      </w:r>
      <w:r>
        <w:rPr>
          <w:rFonts w:cs="Times New Roman"/>
          <w:smallCaps/>
          <w:kern w:val="0"/>
          <w:lang w:bidi="yi-Hebr"/>
        </w:rPr>
        <w:t xml:space="preserve">. </w:t>
      </w:r>
      <w:r>
        <w:t>Sci.,</w:t>
      </w:r>
      <w:r>
        <w:rPr>
          <w:rFonts w:cs="Times New Roman"/>
          <w:kern w:val="0"/>
          <w:lang w:bidi="yi-Hebr"/>
        </w:rPr>
        <w:t xml:space="preserve"> https://onlinelibrary.wiley.com/doi/abs/10.1002/sres.70045（最后访问日期：2026年4月13日）；Jaime F. Cárdenas-García</w:t>
      </w:r>
      <w:r>
        <w:t>, Info-Autopoiesis and the Limits of Artificial General Intelligence</w:t>
      </w:r>
      <w:r>
        <w:rPr>
          <w:rFonts w:cs="Times New Roman"/>
          <w:kern w:val="0"/>
          <w:lang w:bidi="yi-Hebr"/>
        </w:rPr>
        <w:t>, 12</w:t>
      </w:r>
      <w:r>
        <w:t xml:space="preserve"> Computers </w:t>
      </w:r>
      <w:r>
        <w:rPr>
          <w:rFonts w:cs="Times New Roman"/>
          <w:kern w:val="0"/>
          <w:lang w:bidi="yi-Hebr"/>
        </w:rPr>
        <w:t>102 (2023).</w:t>
      </w:r>
      <w:r>
        <w:fldChar w:fldCharType="end"/>
      </w:r>
    </w:p>
  </w:footnote>
  <w:footnote w:id="136">
    <w:p w:rsidR="003D5A83" w:rsidRDefault="00000000" w14:paraId="2DD6B5CB" w14:textId="77777777">
      <w:pPr>
        <w:pStyle w:val="FootnoteText"/>
      </w:pPr>
      <w:r>
        <w:rPr>
          <w:rStyle w:val="FootnoteReference"/>
        </w:rPr>
        <w:footnoteRef/>
      </w:r>
      <w:r>
        <w:t xml:space="preserve"> </w:t>
      </w:r>
      <w:r>
        <w:rPr>
          <w:smallCaps/>
        </w:rPr>
        <w:t xml:space="preserve">尼克拉斯·卢曼，《法律作为社会系统</w:t>
      </w:r>
      <w:r>
        <w:t xml:space="preserve">》第4章（克劳斯·A·齐格特译，法蒂玛·卡斯特纳等编，2004年）（法律体系中“合法”与“非法”的二进制代码，以及决定其适用的条件程序）。</w:t>
      </w:r>
    </w:p>
  </w:footnote>
  <w:footnote w:id="137">
    <w:p w:rsidRPr="00B02371" w:rsidR="00B02371" w:rsidRDefault="00B02371" w14:paraId="54598DEA" w14:textId="4F3BEF21">
      <w:pPr>
        <w:pStyle w:val="FootnoteText"/>
      </w:pPr>
      <w:r>
        <w:rPr>
          <w:rStyle w:val="FootnoteReference"/>
        </w:rPr>
        <w:footnoteRef/>
      </w:r>
      <w:r>
        <w:fldChar w:fldCharType="begin"/>
      </w:r>
      <w:r w:rsidRPr="00B02371">
        <w:instrText xml:space="preserve"> ADDIN ZOTERO_ITEM CSL_CITATION {"citationID":"4aV4xUgk","properties":{"formattedCitation":"{\\scaps Julie E. Cohen}, {\\scaps Between Truth and Power: The Legal Constructions of Informational Capitalism} (2019).","plainCitation":"Julie E. Cohen, Between Truth and Power: The Legal Constructions of Informational Capitalism (2019).","noteIndex":61},"citationItems":[{"id":17,"uris":["http://zotero.org/users/20142566/items/HYE67D7J"],"itemData":{"id":17,"type":"book","abstract":"Drawing from law, science and technology studies, cultural studies, and information studies to develop a complex theory of information power and institutional change, Between Truth and Power is a tour de force of ambitious interdisciplinary scholarship that has the potential to transform the entire field of scholarship on the Internet and society","ISBN":"978-0-19-024669-3","language":"en","number-of-pages":"1","publisher":"Oxford University Press","publisher-place":"Oxford","source":"K10plus ISBN","title":"Between Truth and Power: The Legal Constructions of Informational Capitalism","title-short":"Between truth and power","author":[{"family":"Cohen","given":"Julie E."}],"issued":{"date-parts":[["2019"]]}}}],"schema":"https://github.com/citation-style-language/schema/raw/master/csl-citation.json"} </w:instrText>
      </w:r>
      <w:r>
        <w:fldChar w:fldCharType="separate"/>
      </w:r>
      <w:r w:rsidRPr="00B02371">
        <w:rPr>
          <w:rFonts w:cs="Times New Roman"/>
          <w:smallCaps/>
          <w:kern w:val="0"/>
        </w:rPr>
        <w:t xml:space="preserve"> 朱莉·E·科恩</w:t>
      </w:r>
      <w:r w:rsidRPr="00B02371">
        <w:rPr>
          <w:rFonts w:cs="Times New Roman"/>
          <w:kern w:val="0"/>
        </w:rPr>
        <w:t xml:space="preserve">, </w:t>
      </w:r>
      <w:r w:rsidRPr="00B02371">
        <w:rPr>
          <w:rFonts w:cs="Times New Roman"/>
          <w:smallCaps/>
          <w:kern w:val="0"/>
        </w:rPr>
        <w:t xml:space="preserve"> 《在真理与权力之间：信息资本主义的法律建构》</w:t>
      </w:r>
      <w:r w:rsidRPr="00B02371">
        <w:rPr>
          <w:rFonts w:cs="Times New Roman"/>
          <w:kern w:val="0"/>
        </w:rPr>
        <w:t xml:space="preserve"> (2019).</w:t>
      </w:r>
      <w:r>
        <w:fldChar w:fldCharType="end"/>
      </w:r>
    </w:p>
  </w:footnote>
  <w:footnote w:id="138">
    <w:p w:rsidRPr="00966A48" w:rsidR="00966A48" w:rsidRDefault="00966A48" w14:paraId="72501081" w14:textId="5D3C9559">
      <w:pPr>
        <w:pStyle w:val="FootnoteText"/>
      </w:pPr>
      <w:r>
        <w:rPr>
          <w:rStyle w:val="FootnoteReference"/>
        </w:rPr>
        <w:footnoteRef/>
      </w:r>
      <w:r>
        <w:t xml:space="preserve"> </w:t>
      </w:r>
      <w:r w:rsidRPr="00E7707C">
        <w:rPr>
          <w:rFonts w:cs="Times New Roman"/>
          <w:smallCaps/>
          <w:kern w:val="0"/>
          <w:lang w:bidi="yi-Hebr"/>
        </w:rPr>
        <w:t xml:space="preserve">布罗克曼与巴克尔</w:t>
      </w:r>
      <w:r w:rsidRPr="00E7707C">
        <w:rPr>
          <w:rFonts w:cs="Times New Roman"/>
          <w:kern w:val="0"/>
          <w:lang w:bidi="yi-Hebr"/>
        </w:rPr>
        <w:t xml:space="preserve">，《</w:t>
      </w:r>
      <w:r w:rsidRPr="00E7707C">
        <w:rPr>
          <w:rFonts w:cs="Times New Roman"/>
          <w:smallCaps/>
          <w:kern w:val="0"/>
          <w:lang w:bidi="yi-Hebr"/>
        </w:rPr>
        <w:t xml:space="preserve">律师的意义建构》：</w:t>
      </w:r>
      <w:r>
        <w:t xml:space="preserve">同上</w:t>
      </w:r>
      <w:r w:rsidRPr="004E3A22">
        <w:t xml:space="preserve">，第99-125页</w:t>
      </w:r>
      <w:r>
        <w:t xml:space="preserve">。</w:t>
      </w:r>
    </w:p>
  </w:footnote>
  <w:footnote w:id="139">
    <w:p w:rsidRPr="004E3A22" w:rsidR="00637793" w:rsidRDefault="00637793" w14:paraId="21D360F8" w14:textId="3F3D394E">
      <w:pPr>
        <w:pStyle w:val="FootnoteText"/>
        <w:rPr>
          <w:lang w:val="de-DE"/>
        </w:rPr>
      </w:pPr>
      <w:r>
        <w:rPr>
          <w:rStyle w:val="FootnoteReference"/>
        </w:rPr>
        <w:footnoteRef/>
      </w:r>
      <w:r>
        <w:fldChar w:fldCharType="begin"/>
      </w:r>
      <w:r w:rsidR="00C04038">
        <w:rPr>
          <w:lang w:val="de-DE"/>
        </w:rPr>
        <w:instrText xml:space="preserve"> ADDIN ZOTERO_ITEM CSL_CITATION {"citationID":"6fpNjDBz","properties":{"formattedCitation":"Niklas Luhmann, {\\i{}Organisation und Entscheidung}, {\\i{}in} {\\scaps Organisation und Entscheidung} 5 (1978), http://link.springer.com/10.1007/978-3-322-91079-0_1.","plainCitation":"Niklas Luhmann, Organisation und Entscheidung, in Organisation und Entscheidung 5 (1978), http://link.springer.com/10.1007/978-3-322-91079-0_1.","noteIndex":53},"citationItems":[{"id":138,"uris":["http://zotero.org/users/20142566/items/XE5555KP"],"itemData":{"id":138,"type":"chapter","container-title":"Organisation und Entscheidung","DOI":"10.1007/978-3-322-91079-0_1","ISBN":"978-3-531-07232-6","language":"de","page":"5-71","publisher":"VS Verlag für Sozialwissenschaften","publisher-place":"Wiesbaden","source":"DOI.org (Crossref)","title":"Organisation und Entscheidung","URL":"http://link.springer.com/10.1007/978-3-322-91079-0_1","container-author":[{"family":"Luhmann","given":"Niklas"}],"author":[{"family":"Luhmann","given":"Niklas"}],"accessed":{"date-parts":[["2026",4,13]]},"issued":{"date-parts":[["1978"]]}}}],"schema":"https://github.com/citation-style-language/schema/raw/master/csl-citation.json"} </w:instrText>
      </w:r>
      <w:r>
        <w:fldChar w:fldCharType="separate"/>
      </w:r>
      <w:r>
        <w:rPr>
          <w:rFonts w:cs="Times New Roman"/>
          <w:kern w:val="0"/>
          <w:lang w:val="de-DE" w:bidi="yi-Hebr"/>
        </w:rPr>
        <w:t xml:space="preserve"> </w:t>
      </w:r>
      <w:r>
        <w:t>Niklas Luhmann, Organisation und Entscheidung, in Organisation und Entscheidung 5 (1978), http://link.springer.com/10.1007/978-3-322-91079-0_1.</w:t>
      </w:r>
      <w:r>
        <w:fldChar w:fldCharType="end"/>
      </w:r>
    </w:p>
  </w:footnote>
  <w:footnote w:id="140">
    <w:p w:rsidR="003D5A83" w:rsidRDefault="00000000" w14:paraId="2108ED90" w14:textId="77777777">
      <w:pPr>
        <w:pStyle w:val="FootnoteText"/>
      </w:pPr>
      <w:r>
        <w:rPr>
          <w:rStyle w:val="FootnoteReference"/>
        </w:rPr>
        <w:footnoteRef/>
      </w:r>
      <w:r>
        <w:t xml:space="preserve"> </w:t>
      </w:r>
      <w:r>
        <w:rPr>
          <w:smallCaps/>
        </w:rPr>
        <w:t xml:space="preserve">尼古拉斯·卢曼，《法律作为社会系统</w:t>
      </w:r>
      <w:r>
        <w:t xml:space="preserve">》第10章（克劳斯·A·齐格特译，法蒂玛·卡斯特纳等编，2004年）。</w:t>
      </w:r>
    </w:p>
  </w:footnote>
  <w:footnote w:id="141">
    <w:p w:rsidR="00335C16" w:rsidRDefault="00335C16" w14:paraId="2963D294" w14:textId="297F5ED1">
      <w:pPr>
        <w:pStyle w:val="FootnoteText"/>
      </w:pPr>
      <w:r>
        <w:rPr>
          <w:rStyle w:val="FootnoteReference"/>
        </w:rPr>
        <w:footnoteRef/>
      </w:r>
      <w:r>
        <w:fldChar w:fldCharType="begin"/>
      </w:r>
      <w:r w:rsidR="00C04038">
        <w:instrText xml:space="preserve"> ADDIN ZOTERO_ITEM CSL_CITATION {"citationID":"BucMCtsK","properties":{"formattedCitation":"Niklas Luhmann, {\\i{}Operational Closure and Structural Coupling: The Differentiation of the Legal System Closed Systems and Open Justice: The Legal Sociology of Niklas Luhmann}, 13 {\\scaps Cardozo Law Rev.} 1419 (1991).","plainCitation":"Niklas Luhmann, Operational Closure and Structural Coupling: The Differentiation of the Legal System Closed Systems and Open Justice: The Legal Sociology of Niklas Luhmann, 13 Cardozo Law Rev. 1419 (1991).","noteIndex":54},"citationItems":[{"id":137,"uris":["http://zotero.org/users/20142566/items/F7ACWQFC"],"itemData":{"id":137,"type":"article-journal","abstract":"Disclaimer: This summary was generated by AI based on the content of the source document.","container-title":"Cardozo Law Review","issue":"5","journalAbbreviation":"Cardozo L. Rev.","language":"eng","page":"1419-1442","source":"HeinOnline","title":"Operational Closure and Structural Coupling: The Differentiation of the Legal System Closed Systems and Open Justice: The Legal Sociology of Niklas Luhmann","title-short":"Operational Closure and Structural Coupling","volume":"13","author":[{"family":"Luhmann","given":"Niklas"}],"issued":{"date-parts":[["1991"]],"season":"1992"}}}],"schema":"https://github.com/citation-style-language/schema/raw/master/csl-citation.json"} </w:instrText>
      </w:r>
      <w:r>
        <w:fldChar w:fldCharType="separate"/>
      </w:r>
      <w:r>
        <w:rPr>
          <w:rFonts w:cs="Times New Roman"/>
          <w:kern w:val="0"/>
          <w:lang w:bidi="yi-Hebr"/>
        </w:rPr>
        <w:t xml:space="preserve"> </w:t>
      </w:r>
      <w:r>
        <w:t>Niklas Luhmann, Operational Closure and Structural Coupling: The Differentiation of the Legal System, in Closed Systems and Open Justice: The Legal Sociology of Niklas Luhmann</w:t>
      </w:r>
      <w:r>
        <w:rPr>
          <w:rFonts w:cs="Times New Roman"/>
          <w:kern w:val="0"/>
          <w:lang w:bidi="yi-Hebr"/>
        </w:rPr>
        <w:t>, 13</w:t>
      </w:r>
      <w:r>
        <w:t xml:space="preserve"> Cardozo L. Rev.</w:t>
      </w:r>
      <w:r w:rsidRPr="00335C16">
        <w:rPr>
          <w:rFonts w:cs="Times New Roman"/>
          <w:kern w:val="0"/>
          <w:lang w:bidi="yi-Hebr"/>
        </w:rPr>
        <w:t xml:space="preserve"> 1419 (1991).</w:t>
      </w:r>
      <w:r>
        <w:fldChar w:fldCharType="end"/>
      </w:r>
    </w:p>
  </w:footnote>
  <w:footnote w:id="142">
    <w:p w:rsidRPr="00D27BF6" w:rsidR="00E21DCE" w:rsidRDefault="00E21DCE" w14:paraId="508FA8ED" w14:textId="38A0AB4A">
      <w:pPr>
        <w:pStyle w:val="FootnoteText"/>
      </w:pPr>
      <w:r>
        <w:rPr>
          <w:rStyle w:val="FootnoteReference"/>
        </w:rPr>
        <w:footnoteRef/>
      </w:r>
      <w:r>
        <w:t xml:space="preserve"> </w:t>
      </w:r>
      <w:r w:rsidRPr="004E3A22">
        <w:t xml:space="preserve">参见，例如，延斯·拉斯穆森，《可靠人机系统的生态界面设计》，</w:t>
      </w:r>
      <w:r w:rsidR="00D27BF6">
        <w:t xml:space="preserve">《国际航空心理学杂志》第9卷第3期，第203-223页（1999年）。 </w:t>
      </w:r>
    </w:p>
  </w:footnote>
  <w:footnote w:id="143">
    <w:p w:rsidR="00321393" w:rsidRDefault="00321393" w14:paraId="4F71405A" w14:textId="404FE7E1">
      <w:pPr>
        <w:pStyle w:val="FootnoteText"/>
      </w:pPr>
      <w:r>
        <w:rPr>
          <w:rStyle w:val="FootnoteReference"/>
        </w:rPr>
        <w:footnoteRef/>
      </w:r>
      <w:r>
        <w:fldChar w:fldCharType="begin"/>
      </w:r>
      <w:r>
        <w:instrText xml:space="preserve"> ADDIN ZOTERO_ITEM CSL_CITATION {"citationID":"qfPo061J","properties":{"formattedCitation":"Joshua A Kroll et al., {\\i{}Accountable Algorithms}, 165 {\\scaps Univ. Pa. Law Rev.} 633.","plainCitation":"Joshua A Kroll et al., Accountable Algorithms, 165 Univ. Pa. Law Rev. 633.","noteIndex":64},"citationItems":[{"id":19,"uris":["http://zotero.org/users/20142566/items/Y8VR2PTE"],"itemData":{"id":19,"type":"article-journal","container-title":"University of Pennsylvania Law Review","language":"en","page":"633-705","publisher":"The University of Pennsylvania Law Review","source":"Zotero","title":"Accountable Algorithms","volume":"165","author":[{"family":"Kroll","given":"Joshua A"},{"family":"Huey","given":"Joanna"},{"family":"Barocas","given":"Solon"},{"family":"Reidenberg","given":"Joel R"},{"family":"Robinson","given":"David G"},{"family":"Yut","given":"Harlan"}]}}],"schema":"https://github.com/citation-style-language/schema/raw/master/csl-citation.json"} </w:instrText>
      </w:r>
      <w:r>
        <w:fldChar w:fldCharType="separate"/>
      </w:r>
      <w:r>
        <w:rPr>
          <w:rFonts w:cs="Times New Roman"/>
          <w:kern w:val="0"/>
        </w:rPr>
        <w:t xml:space="preserve"> Joshua A</w:t>
      </w:r>
      <w:r>
        <w:t>.</w:t>
      </w:r>
      <w:r>
        <w:rPr>
          <w:rFonts w:cs="Times New Roman"/>
          <w:kern w:val="0"/>
        </w:rPr>
        <w:t xml:space="preserve"> Kroll </w:t>
      </w:r>
      <w:r>
        <w:t>et al., Accountable Algorithms</w:t>
      </w:r>
      <w:r>
        <w:rPr>
          <w:rFonts w:cs="Times New Roman"/>
          <w:kern w:val="0"/>
        </w:rPr>
        <w:t>, 165</w:t>
      </w:r>
      <w:r>
        <w:t xml:space="preserve"> U. Pa. L. Rev. </w:t>
      </w:r>
      <w:r>
        <w:rPr>
          <w:rFonts w:cs="Times New Roman"/>
          <w:kern w:val="0"/>
        </w:rPr>
        <w:t>633.</w:t>
      </w:r>
      <w:r>
        <w:fldChar w:fldCharType="end"/>
      </w:r>
    </w:p>
  </w:footnote>
  <w:footnote w:id="144">
    <w:p w:rsidR="004817E5" w:rsidRDefault="00000000" w14:paraId="34AB667B"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与人类语言一样，这是一个充满缺陷的领域，而随着翻译过程中错误的累积，这些缺陷会被进一步放大。 参见玛丽-安妮·拉肖、巴蒂斯特</w:t>
      </w:r>
      <w:r>
        <w:rPr>
          <w:rFonts w:ascii="Times New Roman" w:hAnsi="Times New Roman" w:cs="Times New Roman"/>
        </w:rPr>
        <w:t xml:space="preserve">·罗齐耶</w:t>
      </w:r>
      <w:r>
        <w:rPr>
          <w:rFonts w:ascii="Times New Roman" w:hAnsi="Times New Roman" w:cs="Times New Roman"/>
        </w:rPr>
        <w:t xml:space="preserve">、</w:t>
      </w:r>
      <w:r>
        <w:rPr>
          <w:rFonts w:ascii="Times New Roman" w:hAnsi="Times New Roman" w:cs="Times New Roman"/>
        </w:rPr>
        <w:t xml:space="preserve">洛维克</w:t>
      </w:r>
      <w:r>
        <w:rPr>
          <w:rFonts w:ascii="Times New Roman" w:hAnsi="Times New Roman" w:cs="Times New Roman"/>
        </w:rPr>
        <w:t xml:space="preserve">·查努索、纪尧姆·兰普勒的《编程语言的无监督翻译》（第3版，2020年9月22日，该版本见arXiv:2006.03511v3 [cs.CL]）； 可访问 [https://doi.org/10.48550/arXiv.2006.03511]</w:t>
      </w:r>
    </w:p>
  </w:footnote>
  <w:footnote w:id="145">
    <w:p w:rsidR="004817E5" w:rsidRDefault="00000000" w14:paraId="2E873C4D"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部分参考</w:t>
      </w:r>
      <w:r>
        <w:rPr>
          <w:rFonts w:ascii="Times New Roman" w:hAnsi="Times New Roman" w:cs="Times New Roman"/>
          <w:smallCaps/>
        </w:rPr>
        <w:t xml:space="preserve">大卫</w:t>
      </w:r>
      <w:r>
        <w:rPr>
          <w:rFonts w:ascii="Times New Roman" w:hAnsi="Times New Roman" w:cs="Times New Roman"/>
          <w:smallCaps/>
        </w:rPr>
        <w:t xml:space="preserve">·哥伦比亚</w:t>
      </w:r>
      <w:r>
        <w:rPr>
          <w:rFonts w:ascii="Times New Roman" w:hAnsi="Times New Roman" w:cs="Times New Roman"/>
        </w:rPr>
        <w:t xml:space="preserve">（</w:t>
      </w:r>
      <w:r>
        <w:rPr>
          <w:rFonts w:ascii="Times New Roman" w:hAnsi="Times New Roman" w:cs="Times New Roman"/>
          <w:smallCaps/>
        </w:rPr>
        <w:t xml:space="preserve">David </w:t>
      </w:r>
      <w:r>
        <w:rPr>
          <w:rFonts w:ascii="Times New Roman" w:hAnsi="Times New Roman" w:cs="Times New Roman"/>
          <w:smallCaps/>
        </w:rPr>
        <w:t xml:space="preserve">Golumbia</w:t>
      </w:r>
      <w:r>
        <w:rPr>
          <w:rFonts w:ascii="Times New Roman" w:hAnsi="Times New Roman" w:cs="Times New Roman"/>
        </w:rPr>
        <w:t xml:space="preserve">），</w:t>
      </w:r>
      <w:r>
        <w:rPr>
          <w:rFonts w:ascii="Times New Roman" w:hAnsi="Times New Roman" w:cs="Times New Roman"/>
        </w:rPr>
        <w:t xml:space="preserve">《</w:t>
      </w:r>
      <w:r>
        <w:rPr>
          <w:rFonts w:ascii="Times New Roman" w:hAnsi="Times New Roman" w:cs="Times New Roman"/>
          <w:smallCaps/>
        </w:rPr>
        <w:t xml:space="preserve">计算</w:t>
      </w:r>
      <w:r>
        <w:rPr>
          <w:rFonts w:ascii="Times New Roman" w:hAnsi="Times New Roman" w:cs="Times New Roman"/>
          <w:smallCaps/>
        </w:rPr>
        <w:t xml:space="preserve">的文化</w:t>
      </w:r>
      <w:r>
        <w:rPr>
          <w:rFonts w:ascii="Times New Roman" w:hAnsi="Times New Roman" w:cs="Times New Roman"/>
          <w:smallCaps/>
        </w:rPr>
        <w:t xml:space="preserve">逻辑</w:t>
      </w:r>
      <w:r>
        <w:rPr>
          <w:rFonts w:ascii="Times New Roman" w:hAnsi="Times New Roman" w:cs="Times New Roman"/>
        </w:rPr>
        <w:t xml:space="preserve">》（哈佛大学出版社，2009年）（计算作为隐喻、方法和组织框架）； 迈克尔·马辛科夫斯基，</w:t>
      </w:r>
      <w:r>
        <w:rPr>
          <w:rFonts w:ascii="Times New Roman" w:hAnsi="Times New Roman" w:cs="Times New Roman"/>
          <w:i/>
          <w:iCs/>
        </w:rPr>
        <w:t xml:space="preserve">《数据、意识形态与社会信息学正在发展的批判性纲领</w:t>
      </w:r>
      <w:r>
        <w:rPr>
          <w:rFonts w:ascii="Times New Roman" w:hAnsi="Times New Roman" w:cs="Times New Roman"/>
        </w:rPr>
        <w:t xml:space="preserve">》，《</w:t>
      </w:r>
      <w:r>
        <w:rPr>
          <w:rFonts w:ascii="Times New Roman" w:hAnsi="Times New Roman" w:cs="Times New Roman"/>
          <w:smallCaps/>
        </w:rPr>
        <w:t xml:space="preserve">信息</w:t>
      </w:r>
      <w:r>
        <w:rPr>
          <w:rFonts w:ascii="Times New Roman" w:hAnsi="Times New Roman" w:cs="Times New Roman"/>
          <w:smallCaps/>
        </w:rPr>
        <w:t xml:space="preserve">科学与技术</w:t>
      </w:r>
      <w:r>
        <w:rPr>
          <w:rFonts w:ascii="Times New Roman" w:hAnsi="Times New Roman" w:cs="Times New Roman"/>
          <w:smallCaps/>
        </w:rPr>
        <w:t xml:space="preserve">协会</w:t>
      </w:r>
      <w:r>
        <w:rPr>
          <w:rFonts w:ascii="Times New Roman" w:hAnsi="Times New Roman" w:cs="Times New Roman"/>
          <w:smallCaps/>
        </w:rPr>
        <w:t xml:space="preserve">期刊》</w:t>
      </w:r>
      <w:r>
        <w:rPr>
          <w:rFonts w:ascii="Times New Roman" w:hAnsi="Times New Roman" w:cs="Times New Roman"/>
        </w:rPr>
        <w:t xml:space="preserve">（JASIST）</w:t>
      </w:r>
      <w:r>
        <w:rPr>
          <w:rFonts w:ascii="Times New Roman" w:hAnsi="Times New Roman" w:cs="Times New Roman"/>
        </w:rPr>
        <w:t xml:space="preserve">第67卷第5期</w:t>
      </w:r>
      <w:r>
        <w:rPr>
          <w:rFonts w:ascii="Times New Roman" w:hAnsi="Times New Roman" w:cs="Times New Roman"/>
        </w:rPr>
        <w:t xml:space="preserve">，第1266-1275页（2016年）；可参见 https://doi.org/10.1002/asi.23483</w:t>
      </w:r>
    </w:p>
  </w:footnote>
  <w:footnote w:id="146">
    <w:p w:rsidR="004817E5" w:rsidRDefault="00000000" w14:paraId="1521119E"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参见罗伯特·E·伊尼斯，《影响符号：论符号学中断》，载于《我激活你以影响我：</w:t>
      </w:r>
      <w:r>
        <w:rPr>
          <w:rFonts w:ascii="Times New Roman" w:hAnsi="Times New Roman" w:cs="Times New Roman"/>
        </w:rPr>
        <w:t xml:space="preserve">作为文化心理现象</w:t>
      </w:r>
      <w:r>
        <w:rPr>
          <w:rFonts w:ascii="Times New Roman" w:hAnsi="Times New Roman" w:cs="Times New Roman"/>
        </w:rPr>
        <w:t xml:space="preserve">的情感化</w:t>
      </w:r>
      <w:r>
        <w:rPr>
          <w:rFonts w:ascii="Times New Roman" w:hAnsi="Times New Roman" w:cs="Times New Roman"/>
        </w:rPr>
        <w:t xml:space="preserve">》（Emerald Publishing，2018年），</w:t>
      </w:r>
      <w:r>
        <w:rPr>
          <w:rFonts w:ascii="Times New Roman" w:hAnsi="Times New Roman" w:cs="Times New Roman"/>
        </w:rPr>
        <w:t xml:space="preserve">第4</w:t>
      </w:r>
      <w:r>
        <w:rPr>
          <w:rFonts w:ascii="Times New Roman" w:hAnsi="Times New Roman" w:cs="Times New Roman"/>
        </w:rPr>
        <w:t xml:space="preserve">章</w:t>
      </w:r>
      <w:r>
        <w:rPr>
          <w:rFonts w:ascii="Times New Roman" w:hAnsi="Times New Roman" w:cs="Times New Roman"/>
        </w:rPr>
        <w:t xml:space="preserve">。</w:t>
      </w:r>
    </w:p>
  </w:footnote>
  <w:footnote w:id="147">
    <w:p w:rsidRPr="00944258" w:rsidR="00944258" w:rsidP="00944258" w:rsidRDefault="00944258" w14:paraId="57153555" w14:textId="6F450EB5">
      <w:pPr>
        <w:pStyle w:val="FootnoteText"/>
      </w:pPr>
      <w:r>
        <w:rPr>
          <w:rStyle w:val="FootnoteReference"/>
        </w:rPr>
        <w:footnoteRef/>
      </w:r>
      <w:r>
        <w:t xml:space="preserve"> 从基础层面而言，参见法比安·贝克和斯特凡·迪尔，</w:t>
      </w:r>
      <w:r w:rsidRPr="00944258">
        <w:t xml:space="preserve">《论模块化与代码耦合的一致性</w:t>
      </w:r>
      <w:r>
        <w:t xml:space="preserve">》，ESEC/FSE ‘11： 第19届ACM SIGSOFT研讨会暨第13届欧洲软件工程基础会议论文集，</w:t>
      </w:r>
      <w:r>
        <w:t xml:space="preserve">第354–364</w:t>
      </w:r>
      <w:r>
        <w:t xml:space="preserve">页</w:t>
      </w:r>
      <w:r>
        <w:t xml:space="preserve">；可参见[https://doi.org/10.1145/2025113.202516]。 </w:t>
      </w:r>
    </w:p>
  </w:footnote>
  <w:footnote w:id="148">
    <w:p w:rsidRPr="00A803E1" w:rsidR="00A803E1" w:rsidRDefault="00A803E1" w14:paraId="467A3E23" w14:textId="79D6371C">
      <w:pPr>
        <w:pStyle w:val="FootnoteText"/>
      </w:pPr>
      <w:r>
        <w:rPr>
          <w:rStyle w:val="FootnoteReference"/>
        </w:rPr>
        <w:footnoteRef/>
      </w:r>
      <w:r>
        <w:t xml:space="preserve"> 拉里·卡塔·巴克（Larry Catá Backer），</w:t>
      </w:r>
      <w:r w:rsidRPr="004E3A22">
        <w:rPr>
          <w:i/>
          <w:iCs/>
        </w:rPr>
        <w:t xml:space="preserve">《下一代法律：</w:t>
      </w:r>
      <w:r w:rsidRPr="004E3A22">
        <w:rPr>
          <w:i/>
          <w:iCs/>
        </w:rPr>
        <w:t xml:space="preserve">西方基于</w:t>
      </w:r>
      <w:r w:rsidRPr="004E3A22">
        <w:rPr>
          <w:i/>
          <w:iCs/>
        </w:rPr>
        <w:t xml:space="preserve">数据驱动</w:t>
      </w:r>
      <w:r w:rsidRPr="004E3A22">
        <w:rPr>
          <w:i/>
          <w:iCs/>
        </w:rPr>
        <w:t xml:space="preserve">的</w:t>
      </w:r>
      <w:r w:rsidRPr="00944258" w:rsidR="002A3D80">
        <w:rPr>
          <w:i/>
          <w:iCs/>
        </w:rPr>
        <w:t xml:space="preserve">治理</w:t>
      </w:r>
      <w:r w:rsidRPr="004E3A22">
        <w:rPr>
          <w:i/>
          <w:iCs/>
        </w:rPr>
        <w:t xml:space="preserve">与问责制监管体系与中国社会信用体系</w:t>
      </w:r>
      <w:r>
        <w:t xml:space="preserve">》，</w:t>
      </w:r>
      <w:r w:rsidRPr="004E3A22">
        <w:rPr>
          <w:smallCaps/>
        </w:rPr>
        <w:t xml:space="preserve">《南加州跨学科法律杂志》</w:t>
      </w:r>
      <w:r>
        <w:t xml:space="preserve">第28卷</w:t>
      </w:r>
      <w:r>
        <w:t xml:space="preserve">，第122–172页（2018年）。</w:t>
      </w:r>
    </w:p>
  </w:footnote>
  <w:footnote w:id="149">
    <w:p w:rsidR="0087065B" w:rsidRDefault="00000000" w14:paraId="48BA7690" w14:textId="77777777">
      <w:pPr>
        <w:pStyle w:val="FootnoteText"/>
      </w:pPr>
      <w:r>
        <w:rPr>
          <w:rStyle w:val="FootnoteReference"/>
        </w:rPr>
        <w:footnoteRef/>
      </w:r>
      <w:r>
        <w:t xml:space="preserve"> 尼克·兰德，《区块链革命与绝对时间》，载于《黑暗森林：文学、哲学与数字艺术》（2016年12月17日），https://socialecologies.wordpress.com/2016/12/17/nick-land-the-blockchain-revolution-and-absolute-time/。</w:t>
      </w:r>
    </w:p>
  </w:footnote>
  <w:footnote w:id="150">
    <w:p w:rsidR="0087065B" w:rsidRDefault="00000000" w14:paraId="34635E0F" w14:textId="77777777">
      <w:pPr>
        <w:pStyle w:val="FootnoteText"/>
      </w:pPr>
      <w:r>
        <w:rPr>
          <w:rStyle w:val="FootnoteReference"/>
        </w:rPr>
        <w:footnoteRef/>
      </w:r>
      <w:r>
        <w:t xml:space="preserve"> 同上。</w:t>
      </w:r>
    </w:p>
  </w:footnote>
  <w:footnote w:id="151">
    <w:p w:rsidR="0087065B" w:rsidRDefault="00000000" w14:paraId="631C46EE" w14:textId="77777777">
      <w:pPr>
        <w:pStyle w:val="FootnoteText"/>
      </w:pPr>
      <w:r>
        <w:rPr>
          <w:rStyle w:val="FootnoteReference"/>
        </w:rPr>
        <w:footnoteRef/>
      </w:r>
      <w:r>
        <w:t xml:space="preserve"> 里卡多·佩雷斯-马尔科，《区块链时间与海森堡不确定性原理》（法国国家科学研究中心、IMJ-PRG、</w:t>
      </w:r>
      <w:r>
        <w:t xml:space="preserve">Labex </w:t>
      </w:r>
      <w:r>
        <w:t xml:space="preserve">RéFi工作论文，2016年）（作者存档）。</w:t>
      </w:r>
    </w:p>
  </w:footnote>
  <w:footnote w:id="152">
    <w:p w:rsidR="0087065B" w:rsidRDefault="00000000" w14:paraId="4ED9FE5D" w14:textId="77777777">
      <w:pPr>
        <w:pStyle w:val="FootnoteText"/>
      </w:pPr>
      <w:r>
        <w:rPr>
          <w:rStyle w:val="FootnoteReference"/>
        </w:rPr>
        <w:footnoteRef/>
      </w:r>
      <w:r>
        <w:t xml:space="preserve"> 陈斌、冯潘和</w:t>
      </w:r>
      <w:r>
        <w:t xml:space="preserve">黄德创，《比特币：一个非连续时间系统》，arXiv:2501.11091（最后修订于 2026 年 10 月 15 日），https://arxiv.org/abs/2501.11091。</w:t>
      </w:r>
    </w:p>
  </w:footnote>
  <w:footnote w:id="153">
    <w:p w:rsidR="0087065B" w:rsidRDefault="00000000" w14:paraId="1C0010D3" w14:textId="77777777">
      <w:pPr>
        <w:pStyle w:val="FootnoteText"/>
      </w:pPr>
      <w:r>
        <w:rPr>
          <w:rStyle w:val="FootnoteReference"/>
        </w:rPr>
        <w:footnoteRef/>
      </w:r>
      <w:r>
        <w:t xml:space="preserve"> 卡勒姆·鲍登，《时间中的分叉：区块链与绝对继承的政治经济学》，7(1)《关于140的同行评审期刊》，第140–150页（2018年）。</w:t>
      </w:r>
    </w:p>
  </w:footnote>
  <w:footnote w:id="154">
    <w:p w:rsidR="0087065B" w:rsidRDefault="00000000" w14:paraId="49923CBA" w14:textId="77777777">
      <w:pPr>
        <w:pStyle w:val="FootnoteText"/>
      </w:pPr>
      <w:r>
        <w:rPr>
          <w:rStyle w:val="FootnoteReference"/>
        </w:rPr>
        <w:footnoteRef/>
      </w:r>
      <w:r>
        <w:t xml:space="preserve"> 兰德，见上文注152。</w:t>
      </w:r>
    </w:p>
  </w:footnote>
  <w:footnote w:id="155">
    <w:p w:rsidR="0087065B" w:rsidRDefault="00000000" w14:paraId="0A308FC1" w14:textId="77777777">
      <w:pPr>
        <w:pStyle w:val="FootnoteText"/>
      </w:pPr>
      <w:r>
        <w:rPr>
          <w:rStyle w:val="FootnoteReference"/>
        </w:rPr>
        <w:footnoteRef/>
      </w:r>
      <w:r>
        <w:t xml:space="preserve"> </w:t>
      </w:r>
      <w:r>
        <w:t xml:space="preserve">鲁旺加坦杜拉</w:t>
      </w:r>
      <w:r>
        <w:t xml:space="preserve">·科纳拉</w:t>
      </w:r>
      <w:r>
        <w:t xml:space="preserve">等，《采用相位编码存储经典数据的时相纠缠量子区块链》，arXiv:2507.14839（最后修订于2026年6月17日）， https://arxiv.org/html/2507.14839（将经典区块的相位编码贝尔态表示与递归生成的时序格林伯格-霍恩-泽林格纠缠相结合，从而使“过去的区块不再存在”，仅保留最近的、完全链式连接的单一状态可供访问，尽管引入了非经典的、基于相位的编码，但仍保持了严格的时间顺序）。</w:t>
      </w:r>
    </w:p>
  </w:footnote>
  <w:footnote w:id="156">
    <w:p w:rsidRPr="002A3D80" w:rsidR="002A3D80" w:rsidRDefault="002A3D80" w14:paraId="447E6F14" w14:textId="079D396B">
      <w:pPr>
        <w:pStyle w:val="FootnoteText"/>
      </w:pPr>
      <w:r>
        <w:rPr>
          <w:rStyle w:val="FootnoteReference"/>
        </w:rPr>
        <w:footnoteRef/>
      </w:r>
      <w:r>
        <w:t xml:space="preserve"> </w:t>
      </w:r>
      <w:r w:rsidRPr="004E3A22">
        <w:t xml:space="preserve">参见安杰洛·科拉洛（Angelo Corallo）、朱塞皮娜·帕西亚特（Giuseppina Passiante）和安德烈亚·普伦西佩（Andrea Prencipe）所著</w:t>
      </w:r>
      <w:r w:rsidRPr="004E3A22">
        <w:rPr>
          <w:smallCaps/>
        </w:rPr>
        <w:t xml:space="preserve">《数字商业生态系统</w:t>
      </w:r>
      <w:r w:rsidRPr="004E3A22">
        <w:t xml:space="preserve">》（E Elgar</w:t>
      </w:r>
      <w:r>
        <w:t xml:space="preserve">，2007）</w:t>
      </w:r>
      <w:r w:rsidRPr="004E3A22">
        <w:t xml:space="preserve">中的论文</w:t>
      </w:r>
      <w:r>
        <w:t xml:space="preserve">。</w:t>
      </w:r>
    </w:p>
  </w:footnote>
  <w:footnote w:id="157">
    <w:p w:rsidRPr="00334DF3" w:rsidR="00334DF3" w:rsidRDefault="00334DF3" w14:paraId="5E989609" w14:textId="2BA48CF1">
      <w:pPr>
        <w:pStyle w:val="FootnoteText"/>
      </w:pPr>
      <w:r>
        <w:rPr>
          <w:rStyle w:val="FootnoteReference"/>
        </w:rPr>
        <w:footnoteRef/>
      </w:r>
      <w:r>
        <w:t xml:space="preserve"> 卡琳娜·维达，《人类之后的语言——对拉斯·古斯塔夫松〈机器〉的遥远回响》，《</w:t>
      </w:r>
      <w:r w:rsidRPr="004E3A22">
        <w:rPr>
          <w:smallCaps/>
        </w:rPr>
        <w:t xml:space="preserve">技术与语言</w:t>
      </w:r>
      <w:r>
        <w:t xml:space="preserve">》第6卷第3期</w:t>
      </w:r>
      <w:r>
        <w:t xml:space="preserve">，第144-150页（2025年）。</w:t>
      </w:r>
    </w:p>
  </w:footnote>
  <w:footnote w:id="158">
    <w:p w:rsidRPr="004A1521" w:rsidR="004A1521" w:rsidP="004A1521" w:rsidRDefault="004A1521" w14:paraId="1BCBFC89" w14:textId="1FD04477">
      <w:pPr>
        <w:pStyle w:val="FootnoteText"/>
      </w:pPr>
      <w:r>
        <w:rPr>
          <w:rStyle w:val="FootnoteReference"/>
        </w:rPr>
        <w:footnoteRef/>
      </w:r>
      <w:r>
        <w:t xml:space="preserve"> </w:t>
      </w:r>
      <w:r>
        <w:t xml:space="preserve">约瑟夫·拉兹，</w:t>
      </w:r>
      <w:r w:rsidRPr="004A1521">
        <w:rPr>
          <w:i/>
          <w:iCs/>
        </w:rPr>
        <w:t xml:space="preserve">《法治及其美德》</w:t>
      </w:r>
      <w:r>
        <w:t xml:space="preserve">，</w:t>
      </w:r>
      <w:r w:rsidRPr="004A1521">
        <w:rPr>
          <w:smallCaps/>
        </w:rPr>
        <w:t xml:space="preserve">《法律季刊评论》</w:t>
      </w:r>
      <w:r>
        <w:t xml:space="preserve">第93卷</w:t>
      </w:r>
      <w:r>
        <w:t xml:space="preserve">，第195页（1977年）</w:t>
      </w:r>
      <w:r>
        <w:t xml:space="preserve">；</w:t>
      </w:r>
      <w:r w:rsidRPr="004A1521">
        <w:rPr>
          <w:smallCaps/>
        </w:rPr>
        <w:t xml:space="preserve">隆·L·富勒，《法律的道德</w:t>
      </w:r>
      <w:r>
        <w:t xml:space="preserve">》（修订版，1969年）。 </w:t>
      </w:r>
      <w:r>
        <w:t xml:space="preserve">可以说，</w:t>
      </w:r>
      <w:r>
        <w:t xml:space="preserve">拉兹和富勒</w:t>
      </w:r>
      <w:r>
        <w:t xml:space="preserve">都</w:t>
      </w:r>
      <w:r>
        <w:t xml:space="preserve">认为，如果法律无法引导行为，就无法作为法律发挥作用。两人均未声称法律总能成功。</w:t>
      </w:r>
      <w:r>
        <w:t xml:space="preserve">如果将讨论的焦点从“成功”转向“范围”，那么当然可以推定法律总是能够覆盖的，但这种覆盖并不总是有效的——其有效性可能取决于“覆盖”这一理念的评判标准。 </w:t>
      </w:r>
    </w:p>
  </w:footnote>
  <w:footnote w:id="159">
    <w:p w:rsidRPr="004A1521" w:rsidR="004A1521" w:rsidRDefault="004A1521" w14:paraId="6E66A215" w14:textId="400C8B39">
      <w:pPr>
        <w:pStyle w:val="FootnoteText"/>
      </w:pPr>
      <w:r>
        <w:rPr>
          <w:rStyle w:val="FootnoteReference"/>
        </w:rPr>
        <w:footnoteRef/>
      </w:r>
      <w:r>
        <w:t xml:space="preserve"> 参见，例如，</w:t>
      </w:r>
      <w:r>
        <w:t xml:space="preserve">Joshua A. Kroll </w:t>
      </w:r>
      <w:r>
        <w:t>et al., Accountable Algorithms,</w:t>
      </w:r>
      <w:r w:rsidRPr="004A1521">
        <w:t xml:space="preserve"> 165</w:t>
      </w:r>
      <w:r>
        <w:rPr>
          <w:smallCaps/>
        </w:rPr>
        <w:t xml:space="preserve"> </w:t>
      </w:r>
      <w:r>
        <w:t>U. Pa. L. Rev. 633 (2017)</w:t>
      </w:r>
      <w:r>
        <w:t>，其</w:t>
      </w:r>
      <w:r>
        <w:t>观点可理解为：</w:t>
      </w:r>
      <w:r>
        <w:t>透明度和技术工具</w:t>
      </w:r>
      <w:r>
        <w:t>使</w:t>
      </w:r>
      <w:r>
        <w:t>观察</w:t>
      </w:r>
      <w:r>
        <w:t>与</w:t>
      </w:r>
      <w:r>
        <w:t>转化</w:t>
      </w:r>
      <w:r>
        <w:t>成为可能</w:t>
      </w:r>
      <w:r>
        <w:t>，但</w:t>
      </w:r>
      <w:r>
        <w:t>这些</w:t>
      </w:r>
      <w:r>
        <w:t>是否</w:t>
      </w:r>
      <w:r>
        <w:t>能</w:t>
      </w:r>
      <w:r>
        <w:t>“转化”为</w:t>
      </w:r>
      <w:r>
        <w:t>法治与代码或编码之间</w:t>
      </w:r>
      <w:r>
        <w:t>的控制或</w:t>
      </w:r>
      <w:r>
        <w:t>转换</w:t>
      </w:r>
      <w:r>
        <w:t>，则不那么确定</w:t>
      </w:r>
      <w:r>
        <w:t>。</w:t>
      </w:r>
      <w:r>
        <w:t>参见</w:t>
      </w:r>
      <w:r>
        <w:t xml:space="preserve"> </w:t>
      </w:r>
      <w:r>
        <w:t>Jenna Burrell</w:t>
      </w:r>
      <w:r>
        <w:t xml:space="preserve">, How the Machine ‘Thinks’: Understanding Opacity in Machine Learning Algorithms, 3 Big Data &amp; Soc’y, no. 1, 2016, art. </w:t>
      </w:r>
      <w:r>
        <w:t>2053951715622512</w:t>
      </w:r>
      <w:r>
        <w:t xml:space="preserve">（</w:t>
      </w:r>
      <w:r w:rsidRPr="004A1521">
        <w:t xml:space="preserve">指出了源于机器学习算法特性及其应用所需规模而产生的不透明性</w:t>
      </w:r>
      <w:r>
        <w:t xml:space="preserve">）。</w:t>
      </w:r>
    </w:p>
  </w:footnote>
  <w:footnote w:id="160">
    <w:p w:rsidRPr="00FC080B" w:rsidR="00FC080B" w:rsidRDefault="00FC080B" w14:paraId="37018505" w14:textId="1E2421D0">
      <w:pPr>
        <w:pStyle w:val="FootnoteText"/>
      </w:pPr>
      <w:r>
        <w:rPr>
          <w:rStyle w:val="FootnoteReference"/>
        </w:rPr>
        <w:footnoteRef/>
      </w:r>
      <w:r>
        <w:t xml:space="preserve"> 参见</w:t>
      </w:r>
      <w:r w:rsidRPr="00FC080B">
        <w:t xml:space="preserve">罗杰·布朗斯沃德（Roger Brownsword），</w:t>
      </w:r>
      <w:r w:rsidRPr="00FC080B">
        <w:rPr>
          <w:i/>
          <w:iCs/>
        </w:rPr>
        <w:t xml:space="preserve">《技术管理与法治</w:t>
      </w:r>
      <w:r w:rsidRPr="00FC080B">
        <w:t xml:space="preserve">》，载</w:t>
      </w:r>
      <w:r w:rsidRPr="00FC080B">
        <w:t xml:space="preserve">《</w:t>
      </w:r>
      <w:r w:rsidRPr="00FC080B">
        <w:rPr>
          <w:smallCaps/>
        </w:rPr>
        <w:t xml:space="preserve">法律、创新与技术</w:t>
      </w:r>
      <w:r w:rsidRPr="00FC080B">
        <w:t xml:space="preserve">》第</w:t>
      </w:r>
      <w:r w:rsidRPr="00FC080B">
        <w:t xml:space="preserve">8</w:t>
      </w:r>
      <w:r w:rsidRPr="00FC080B">
        <w:t xml:space="preserve">卷，第100页（2016年）</w:t>
      </w:r>
      <w:r>
        <w:t xml:space="preserve">，其论述可被解读为</w:t>
      </w:r>
      <w:r w:rsidRPr="00FC080B">
        <w:t xml:space="preserve">探讨法治以及富勒的合法性原则</w:t>
      </w:r>
      <w:r>
        <w:t xml:space="preserve">（</w:t>
      </w:r>
      <w:r w:rsidRPr="004A1521">
        <w:rPr>
          <w:smallCaps/>
        </w:rPr>
        <w:t xml:space="preserve">见《法律的道德</w:t>
      </w:r>
      <w:r>
        <w:t xml:space="preserve">》（1969年修订版</w:t>
      </w:r>
      <w:r>
        <w:t xml:space="preserve">））</w:t>
      </w:r>
      <w:r w:rsidRPr="00FC080B">
        <w:t xml:space="preserve">是否以及如何</w:t>
      </w:r>
      <w:r w:rsidRPr="00FC080B">
        <w:t xml:space="preserve">适用于由技术而非规则管理的监管环境</w:t>
      </w:r>
      <w:r>
        <w:t xml:space="preserve">。 关于这一点，另见</w:t>
      </w:r>
      <w:r w:rsidRPr="00FC080B">
        <w:rPr>
          <w:i/>
          <w:iCs/>
          <w:smallCaps/>
        </w:rPr>
        <w:t xml:space="preserve">普里马维拉·德·菲利皮与亚伦·赖特合著的《</w:t>
      </w:r>
      <w:r w:rsidRPr="00FC080B">
        <w:rPr>
          <w:rStyle w:val="Emphasis"/>
          <w:i w:val="0"/>
          <w:iCs w:val="0"/>
          <w:smallCaps/>
        </w:rPr>
        <w:t xml:space="preserve">区块链与法律：代码的统治</w:t>
      </w:r>
      <w:r w:rsidRPr="00FC080B">
        <w:rPr>
          <w:i/>
          <w:iCs/>
          <w:smallCaps/>
        </w:rPr>
        <w:t xml:space="preserve">》</w:t>
      </w:r>
      <w:r>
        <w:t xml:space="preserve">（2018年）。</w:t>
      </w:r>
    </w:p>
  </w:footnote>
  <w:footnote w:id="161">
    <w:p w:rsidRPr="00543BB9" w:rsidR="00543BB9" w:rsidRDefault="00543BB9" w14:paraId="3A1B2118" w14:textId="30E49288">
      <w:pPr>
        <w:pStyle w:val="FootnoteText"/>
      </w:pPr>
      <w:r>
        <w:rPr>
          <w:rStyle w:val="FootnoteReference"/>
        </w:rPr>
        <w:footnoteRef/>
      </w:r>
      <w:r>
        <w:t xml:space="preserve"> 参见罗杰</w:t>
      </w:r>
      <w:r w:rsidRPr="00543BB9">
        <w:rPr>
          <w:smallCaps/>
        </w:rPr>
        <w:t xml:space="preserve">·布朗斯沃德（Roger Brownsword），</w:t>
      </w:r>
      <w:r>
        <w:t xml:space="preserve">《</w:t>
      </w:r>
      <w:r w:rsidRPr="00543BB9">
        <w:rPr>
          <w:smallCaps/>
        </w:rPr>
        <w:t xml:space="preserve">法律、技术与社会：重新构想监管环境</w:t>
      </w:r>
      <w:r w:rsidRPr="00543BB9">
        <w:t xml:space="preserve">》（2019年</w:t>
      </w:r>
      <w:r>
        <w:t xml:space="preserve">）（</w:t>
      </w:r>
      <w:r w:rsidRPr="00543BB9">
        <w:t xml:space="preserve">将法治</w:t>
      </w:r>
      <w:r>
        <w:t xml:space="preserve">重新</w:t>
      </w:r>
      <w:r w:rsidRPr="00543BB9">
        <w:t xml:space="preserve">构想为对权力任意行使的约束，无论该权力是通过规则还是通过技术措施行使的。</w:t>
      </w:r>
    </w:p>
  </w:footnote>
  <w:footnote w:id="162">
    <w:p w:rsidRPr="00155A12" w:rsidR="00155A12" w:rsidP="000328BB" w:rsidRDefault="00155A12" w14:paraId="41773948" w14:textId="236FF44F">
      <w:pPr>
        <w:pStyle w:val="FootnoteText"/>
      </w:pPr>
      <w:r>
        <w:rPr>
          <w:rStyle w:val="FootnoteReference"/>
        </w:rPr>
        <w:footnoteRef/>
      </w:r>
      <w:r w:rsidR="000328BB">
        <w:t xml:space="preserve">  菲利普·N·约翰逊-莱尔</w:t>
      </w:r>
      <w:r w:rsidRPr="004E3A22" w:rsidR="000328BB">
        <w:rPr>
          <w:i/>
          <w:iCs/>
        </w:rPr>
        <w:t xml:space="preserve">德，</w:t>
      </w:r>
      <w:r w:rsidR="000328BB">
        <w:t xml:space="preserve">《</w:t>
      </w:r>
      <w:r w:rsidRPr="004E3A22" w:rsidR="000328BB">
        <w:rPr>
          <w:i/>
          <w:iCs/>
        </w:rPr>
        <w:t xml:space="preserve">人与机器的思维</w:t>
      </w:r>
      <w:r w:rsidR="000328BB">
        <w:t xml:space="preserve">》（Psychology Press, Taylor &amp; Francis, 1993）（“你可能会好奇，我为何如此确信我们的机器是愚蠢的。答案在于，它们尚未构思出关于‘它们如何思考自己的思考’的理论，而我们却对它们了如指掌。”同上，第xv页）。</w:t>
      </w:r>
    </w:p>
  </w:footnote>
  <w:footnote w:id="163">
    <w:p w:rsidRPr="00EF62D0" w:rsidR="00012504" w:rsidP="00012504" w:rsidRDefault="00012504" w14:paraId="451DF03B" w14:textId="6E550437">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我们或许能达到基本理解的程度，但100%的透明度不太可能实现。一些研究人员认为，我们需要训练自己像机器那样思考（多维度、概率性、非线性</w:t>
      </w:r>
      <w:r w:rsidRPr="00EF62D0" w:rsidR="006C1A1D">
        <w:rPr>
          <w:rFonts w:ascii="Times New Roman" w:hAnsi="Times New Roman" w:cs="Times New Roman"/>
        </w:rPr>
        <w:t xml:space="preserve">）。</w:t>
      </w:r>
      <w:r w:rsidRPr="00EF62D0">
        <w:rPr>
          <w:rFonts w:ascii="Times New Roman" w:hAnsi="Times New Roman" w:cs="Times New Roman"/>
        </w:rPr>
        <w:t xml:space="preserve">例如，“神经-符号计算”系统将基于符号的推理与神经网络学习相结合。可解释性工具、在训练AI系统时嵌入可解释性约束，以及构建能够将机器推理转化为人类可理解概念的用户界面。</w:t>
      </w:r>
    </w:p>
  </w:footnote>
  <w:footnote w:id="164">
    <w:p w:rsidRPr="00F578F2" w:rsidR="00155A12" w:rsidP="00F578F2" w:rsidRDefault="00155A12" w14:paraId="7375E35E" w14:textId="4252E4E2">
      <w:pPr>
        <w:pStyle w:val="FootnoteText"/>
      </w:pPr>
      <w:r>
        <w:rPr>
          <w:rStyle w:val="FootnoteReference"/>
        </w:rPr>
        <w:footnoteRef/>
      </w:r>
      <w:r>
        <w:t xml:space="preserve"> </w:t>
      </w:r>
      <w:r w:rsidR="00F578F2">
        <w:t xml:space="preserve">Sriraam Natarajan、Saurabh Mathur、Sahil Sidheekh、</w:t>
      </w:r>
      <w:r w:rsidRPr="00F578F2" w:rsidR="00F578F2">
        <w:t xml:space="preserve">Wolfgang Stammer</w:t>
      </w:r>
      <w:r w:rsidR="00F578F2">
        <w:t xml:space="preserve">、</w:t>
      </w:r>
      <w:r w:rsidRPr="00F578F2" w:rsidR="00F578F2">
        <w:t xml:space="preserve">Kristian </w:t>
      </w:r>
      <w:r w:rsidRPr="004E3A22" w:rsidR="00F578F2">
        <w:t xml:space="preserve">Kerst</w:t>
      </w:r>
      <w:r w:rsidRPr="00F578F2" w:rsidR="00F578F2">
        <w:t xml:space="preserve">ing</w:t>
      </w:r>
      <w:r w:rsidRPr="004E3A22" w:rsidR="00F578F2">
        <w:t xml:space="preserve">，《</w:t>
      </w:r>
      <w:r w:rsidRPr="00F578F2" w:rsidR="00F578F2">
        <w:t xml:space="preserve">人参与循环还是AI参与循环？自动化还是协作？</w:t>
      </w:r>
      <w:r w:rsidR="00F578F2">
        <w:t xml:space="preserve">》，39(27) AAAI-25 28594-28600。 </w:t>
      </w:r>
      <w:hyperlink w:history="1" r:id="rId6">
        <w:r w:rsidRPr="00AE1030" w:rsidR="00F578F2">
          <w:rPr>
            <w:rStyle w:val="Hyperlink"/>
          </w:rPr>
          <w:t xml:space="preserve">https://doi.org/10.1609/aaai.v39i27.35083</w:t>
        </w:r>
      </w:hyperlink>
      <w:r w:rsidR="00F578F2">
        <w:t xml:space="preserve"> (2025)。</w:t>
      </w:r>
    </w:p>
  </w:footnote>
  <w:footnote w:id="165">
    <w:p w:rsidRPr="00EF62D0" w:rsidR="00E81F78" w:rsidP="004E3A22" w:rsidRDefault="00E81F78" w14:paraId="2F51846C" w14:textId="30ADA59A">
      <w:pPr>
        <w:pStyle w:val="Comment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我们所说的“人-在-回路”（即在决策发生或系统运行之前，人类直接参与或批准该决策）可以采取多种形式：(1)</w:t>
      </w:r>
      <w:r w:rsidRPr="00EF62D0">
        <w:rPr>
          <w:rFonts w:ascii="Times New Roman" w:hAnsi="Times New Roman" w:cs="Times New Roman"/>
          <w:i/>
          <w:iCs/>
        </w:rPr>
        <w:t xml:space="preserve"> 人类必须授权（签字）；(2) 人类必须投票/选择升级方案；(3) 在许可型系统中，人类必须明确批准。</w:t>
      </w:r>
      <w:r w:rsidRPr="00EF62D0">
        <w:rPr>
          <w:rFonts w:ascii="Times New Roman" w:hAnsi="Times New Roman" w:cs="Times New Roman"/>
        </w:rPr>
        <w:t xml:space="preserve"> 除此之外，“人后环”（事后介入）也正在开发之中。</w:t>
      </w:r>
      <w:r w:rsidRPr="000328BB" w:rsidR="000328BB">
        <w:rPr>
          <w:rFonts w:ascii="Times New Roman" w:hAnsi="Times New Roman" w:cs="Times New Roman"/>
        </w:rPr>
        <w:t xml:space="preserve">Eduardo Mosqueira-Rey、Elena Hernández-Pereira、David Alonso-Ríos、José </w:t>
      </w:r>
      <w:r w:rsidRPr="000328BB" w:rsidR="000328BB">
        <w:rPr>
          <w:rFonts w:ascii="Times New Roman" w:hAnsi="Times New Roman" w:cs="Times New Roman"/>
        </w:rPr>
        <w:t xml:space="preserve">Bobes-Bascarán</w:t>
      </w:r>
      <w:r w:rsidRPr="000328BB" w:rsidR="000328BB">
        <w:rPr>
          <w:rFonts w:ascii="Times New Roman" w:hAnsi="Times New Roman" w:cs="Times New Roman"/>
        </w:rPr>
        <w:t xml:space="preserve"> 及 Ángel Fernández-Leal</w:t>
      </w:r>
      <w:r w:rsidR="000328BB">
        <w:rPr>
          <w:rFonts w:ascii="Times New Roman" w:hAnsi="Times New Roman" w:cs="Times New Roman"/>
        </w:rPr>
        <w:t xml:space="preserve">，《</w:t>
      </w:r>
      <w:r w:rsidRPr="000328BB" w:rsidR="000328BB">
        <w:rPr>
          <w:rFonts w:ascii="Times New Roman" w:hAnsi="Times New Roman" w:cs="Times New Roman"/>
        </w:rPr>
        <w:t xml:space="preserve">人-机器闭环中的机器学习：最新进展</w:t>
      </w:r>
      <w:r w:rsidR="000328BB">
        <w:rPr>
          <w:rFonts w:ascii="Times New Roman" w:hAnsi="Times New Roman" w:cs="Times New Roman"/>
        </w:rPr>
        <w:t xml:space="preserve">》，</w:t>
      </w:r>
      <w:r w:rsidRPr="000328BB" w:rsidR="000328BB">
        <w:rPr>
          <w:rFonts w:ascii="Times New Roman" w:hAnsi="Times New Roman" w:cs="Times New Roman"/>
        </w:rPr>
        <w:t xml:space="preserve">《人工智能评论》</w:t>
      </w:r>
      <w:r w:rsidR="000328BB">
        <w:rPr>
          <w:rFonts w:ascii="Times New Roman" w:hAnsi="Times New Roman" w:cs="Times New Roman"/>
        </w:rPr>
        <w:t xml:space="preserve">第56卷</w:t>
      </w:r>
      <w:r w:rsidRPr="000328BB" w:rsidR="000328BB">
        <w:rPr>
          <w:rFonts w:ascii="Times New Roman" w:hAnsi="Times New Roman" w:cs="Times New Roman"/>
        </w:rPr>
        <w:t xml:space="preserve">，第3005–3054页</w:t>
      </w:r>
      <w:r w:rsidR="000328BB">
        <w:rPr>
          <w:rFonts w:ascii="Times New Roman" w:hAnsi="Times New Roman" w:cs="Times New Roman"/>
        </w:rPr>
        <w:t xml:space="preserve">（2023年）。</w:t>
      </w:r>
    </w:p>
  </w:footnote>
  <w:footnote w:id="166">
    <w:p w:rsidRPr="004E3A22" w:rsidR="00F578F2" w:rsidRDefault="00F578F2" w14:paraId="192242D7" w14:textId="007A9D18">
      <w:pPr>
        <w:pStyle w:val="FootnoteText"/>
        <w:rPr>
          <w:rFonts w:ascii="Cambria" w:hAnsi="Cambria"/>
        </w:rPr>
      </w:pPr>
      <w:r>
        <w:rPr>
          <w:rStyle w:val="FootnoteReference"/>
        </w:rPr>
        <w:footnoteRef/>
      </w:r>
      <w:r>
        <w:t xml:space="preserve"> </w:t>
      </w:r>
      <w:r w:rsidRPr="004E3A22">
        <w:t xml:space="preserve">参见：克劳斯·布鲁恩·延森，《人机对话中的编码与解码》，《</w:t>
      </w:r>
      <w:r>
        <w:rPr>
          <w:rStyle w:val="Emphasis"/>
        </w:rPr>
        <w:t xml:space="preserve">传播理论</w:t>
      </w:r>
      <w:r>
        <w:t xml:space="preserve">》，</w:t>
      </w:r>
      <w:hyperlink w:history="1" r:id="rId7">
        <w:r w:rsidRPr="00F578F2">
          <w:rPr>
            <w:rStyle w:val="Hyperlink"/>
          </w:rPr>
          <w:t xml:space="preserve">qtaf022，https://doi.org/10.1093/ct/qtaf022</w:t>
        </w:r>
        <w:r w:rsidRPr="00AE1030">
          <w:rPr>
            <w:rStyle w:val="Hyperlink"/>
          </w:rPr>
          <w:t xml:space="preserve">（</w:t>
        </w:r>
      </w:hyperlink>
      <w:r w:rsidRPr="004E3A22">
        <w:rPr>
          <w:rFonts w:ascii="Cambria" w:hAnsi="Cambria"/>
        </w:rPr>
        <w:t xml:space="preserve">2025年9月16日）。</w:t>
      </w:r>
    </w:p>
  </w:footnote>
  <w:footnote w:id="167">
    <w:p w:rsidRPr="00F578F2" w:rsidR="00F578F2" w:rsidP="00520E84" w:rsidRDefault="00F578F2" w14:paraId="68CD33EB" w14:textId="509FC3F7">
      <w:pPr>
        <w:pStyle w:val="FootnoteText"/>
      </w:pPr>
      <w:r>
        <w:rPr>
          <w:rStyle w:val="FootnoteReference"/>
        </w:rPr>
        <w:footnoteRef/>
      </w:r>
      <w:r>
        <w:t xml:space="preserve"> 参见，例如，</w:t>
      </w:r>
      <w:r w:rsidR="00520E84">
        <w:t xml:space="preserve">弗洛伦斯·格塞尔、弗洛里安</w:t>
      </w:r>
      <w:r w:rsidR="006C1A1D">
        <w:t xml:space="preserve">·马丁-巴里托，</w:t>
      </w:r>
      <w:r w:rsidR="00520E84">
        <w:t xml:space="preserve">《区块链对人权、民主和</w:t>
      </w:r>
      <w:r w:rsidR="006C1A1D">
        <w:t xml:space="preserve">法治</w:t>
      </w:r>
      <w:r w:rsidR="00520E84">
        <w:t xml:space="preserve">的影响</w:t>
      </w:r>
      <w:r w:rsidR="006C1A1D">
        <w:t xml:space="preserve">》，</w:t>
      </w:r>
      <w:r w:rsidR="00520E84">
        <w:t xml:space="preserve">信息社会部 </w:t>
      </w:r>
      <w:r w:rsidR="006C1A1D">
        <w:t xml:space="preserve">DGI (</w:t>
      </w:r>
      <w:r w:rsidR="00520E84">
        <w:t xml:space="preserve">2022)06（欧洲委员会，2022年）。</w:t>
      </w:r>
    </w:p>
  </w:footnote>
  <w:footnote w:id="168">
    <w:p w:rsidR="0087065B" w:rsidRDefault="00000000" w14:paraId="1E0F36EA" w14:textId="77777777">
      <w:pPr>
        <w:pStyle w:val="FootnoteText"/>
      </w:pPr>
      <w:r>
        <w:rPr>
          <w:rStyle w:val="FootnoteReference"/>
        </w:rPr>
        <w:footnoteRef/>
      </w:r>
      <w:r>
        <w:t xml:space="preserve"> 巴克尔，《第七讲》，见上文注150。</w:t>
      </w:r>
    </w:p>
  </w:footnote>
  <w:footnote w:id="169">
    <w:p w:rsidR="004817E5" w:rsidRDefault="00000000" w14:paraId="30ADA45B"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普里马维拉·德·菲利皮、莫舍德·曼南和韦塞尔</w:t>
      </w:r>
      <w:r>
        <w:rPr>
          <w:rFonts w:ascii="Times New Roman" w:hAnsi="Times New Roman" w:cs="Times New Roman"/>
        </w:rPr>
        <w:t xml:space="preserve">·雷耶斯</w:t>
      </w:r>
      <w:r>
        <w:rPr>
          <w:rFonts w:ascii="Times New Roman" w:hAnsi="Times New Roman" w:cs="Times New Roman"/>
        </w:rPr>
        <w:t xml:space="preserve">，《区块链作为信任机器：信任问题与治理挑战》，《</w:t>
      </w:r>
      <w:r>
        <w:rPr>
          <w:rFonts w:ascii="Times New Roman" w:hAnsi="Times New Roman" w:cs="Times New Roman"/>
          <w:smallCaps/>
        </w:rPr>
        <w:t xml:space="preserve">技术</w:t>
      </w:r>
      <w:r>
        <w:rPr>
          <w:rFonts w:ascii="Times New Roman" w:hAnsi="Times New Roman" w:cs="Times New Roman"/>
        </w:rPr>
        <w:t xml:space="preserve">与</w:t>
      </w:r>
      <w:r>
        <w:rPr>
          <w:rFonts w:ascii="Times New Roman" w:hAnsi="Times New Roman" w:cs="Times New Roman"/>
          <w:smallCaps/>
        </w:rPr>
        <w:t xml:space="preserve">社会》</w:t>
      </w:r>
      <w:r>
        <w:rPr>
          <w:rFonts w:ascii="Times New Roman" w:hAnsi="Times New Roman" w:cs="Times New Roman"/>
        </w:rPr>
        <w:t xml:space="preserve">第62卷</w:t>
      </w:r>
      <w:r>
        <w:rPr>
          <w:rFonts w:ascii="Times New Roman" w:hAnsi="Times New Roman" w:cs="Times New Roman"/>
        </w:rPr>
        <w:t xml:space="preserve">，第101284页（2020年）；可参见 [https://doi.org/10.1016/j.techsoc.2020.101284]。 然而，信任问题是对监管的普遍性挑战，其中仅有一方面涉及以区块链为代表的自动化数据系统。 参见，例如，西奥·阿劳霍、安娜·布罗西乌斯、安德烈亚斯·戈尔德伯格、朱迪思·穆勒和克拉斯·H·德·弗雷斯，《人类与人工智能：信任、政治态度及个人特征对欧洲各地自动化决策认知的影响》，《</w:t>
      </w:r>
      <w:r>
        <w:rPr>
          <w:rFonts w:ascii="Times New Roman" w:hAnsi="Times New Roman" w:cs="Times New Roman"/>
          <w:smallCaps/>
        </w:rPr>
        <w:t xml:space="preserve">国际</w:t>
      </w:r>
      <w:r>
        <w:rPr>
          <w:rFonts w:ascii="Times New Roman" w:hAnsi="Times New Roman" w:cs="Times New Roman"/>
          <w:smallCaps/>
        </w:rPr>
        <w:t xml:space="preserve">传播</w:t>
      </w:r>
      <w:r>
        <w:rPr>
          <w:rFonts w:ascii="Times New Roman" w:hAnsi="Times New Roman" w:cs="Times New Roman"/>
          <w:smallCaps/>
        </w:rPr>
        <w:t xml:space="preserve">杂志》</w:t>
      </w:r>
      <w:r>
        <w:rPr>
          <w:rFonts w:ascii="Times New Roman" w:hAnsi="Times New Roman" w:cs="Times New Roman"/>
        </w:rPr>
        <w:t xml:space="preserve">第17卷</w:t>
      </w:r>
      <w:r>
        <w:rPr>
          <w:rFonts w:ascii="Times New Roman" w:hAnsi="Times New Roman" w:cs="Times New Roman"/>
        </w:rPr>
        <w:t xml:space="preserve">，第6222-6249页（2023年）； 雅各布·舍费尔（Jakob Schoeffer）、伊薇特·马霍夫斯基（Yvette Machowski）、尼克拉斯·库尔（Niklas Kuehl），《关于自动化决策中公平性与信任感认知的研究》，arXiv:2103.04757 [cs.AI]（2021年3月8日）； 斯特凡·格里梅利克胡伊森，《解释计算机为何说“不”：算法透明度影响对自动化决策可信度的感知》，《</w:t>
      </w:r>
      <w:r>
        <w:rPr>
          <w:rFonts w:ascii="Times New Roman" w:hAnsi="Times New Roman" w:cs="Times New Roman"/>
          <w:smallCaps/>
        </w:rPr>
        <w:t xml:space="preserve">公共</w:t>
      </w:r>
      <w:r>
        <w:rPr>
          <w:rFonts w:ascii="Times New Roman" w:hAnsi="Times New Roman" w:cs="Times New Roman"/>
          <w:smallCaps/>
        </w:rPr>
        <w:t xml:space="preserve">行政</w:t>
      </w:r>
      <w:r>
        <w:rPr>
          <w:rFonts w:ascii="Times New Roman" w:hAnsi="Times New Roman" w:cs="Times New Roman"/>
          <w:smallCaps/>
        </w:rPr>
        <w:t xml:space="preserve">评论》</w:t>
      </w:r>
      <w:r>
        <w:rPr>
          <w:rFonts w:ascii="Times New Roman" w:hAnsi="Times New Roman" w:cs="Times New Roman"/>
        </w:rPr>
        <w:t xml:space="preserve">第83卷第2期，</w:t>
      </w:r>
      <w:r>
        <w:rPr>
          <w:rFonts w:ascii="Times New Roman" w:hAnsi="Times New Roman" w:cs="Times New Roman"/>
        </w:rPr>
        <w:t xml:space="preserve">第241-262页（2023年）。</w:t>
      </w:r>
    </w:p>
  </w:footnote>
  <w:footnote w:id="170">
    <w:p w:rsidRPr="00674C08" w:rsidR="00674C08" w:rsidRDefault="00674C08" w14:paraId="540F862E" w14:textId="2B36F201">
      <w:pPr>
        <w:pStyle w:val="FootnoteText"/>
      </w:pPr>
      <w:r w:rsidRPr="00674C08">
        <w:rPr>
          <w:rStyle w:val="FootnoteReference"/>
        </w:rPr>
        <w:footnoteRef/>
      </w:r>
      <w:r w:rsidRPr="00674C08">
        <w:t xml:space="preserve"> </w:t>
      </w:r>
      <w:r w:rsidRPr="00674C08">
        <w:t xml:space="preserve">《</w:t>
      </w:r>
      <w:r w:rsidRPr="004E3A22">
        <w:t xml:space="preserve">剑桥</w:t>
      </w:r>
      <w:r w:rsidRPr="00674C08">
        <w:t xml:space="preserve">词典</w:t>
      </w:r>
      <w:r w:rsidRPr="004E3A22">
        <w:t xml:space="preserve">》，短语；可访问 [</w:t>
      </w:r>
      <w:r w:rsidRPr="00674C08">
        <w:t xml:space="preserve">https://dictionary.cambridge.org/us/dictionary/english/bad-workman-blames-his-tools</w:t>
      </w:r>
      <w:r w:rsidRPr="004E3A22">
        <w:t xml:space="preserve">]</w:t>
      </w:r>
    </w:p>
  </w:footnote>
  <w:footnote w:id="171">
    <w:p w:rsidRPr="00104DD1" w:rsidR="00104DD1" w:rsidP="00104DD1" w:rsidRDefault="00104DD1" w14:paraId="66B84870" w14:textId="1C2DAE94">
      <w:pPr>
        <w:pStyle w:val="FootnoteText"/>
      </w:pPr>
      <w:r>
        <w:rPr>
          <w:rStyle w:val="FootnoteReference"/>
        </w:rPr>
        <w:footnoteRef/>
      </w:r>
      <w:r>
        <w:t xml:space="preserve"> 珍妮特·A·劳伦斯和雅安·瓦尔西纳，《构建个人意义：关于基本内化与外化过程的阐述》，《理论与</w:t>
      </w:r>
      <w:r w:rsidR="006C1A1D">
        <w:t xml:space="preserve">心理学</w:t>
      </w:r>
      <w:r>
        <w:t xml:space="preserve">》第13卷第6期</w:t>
      </w:r>
      <w:r>
        <w:t xml:space="preserve">，第723-752页（2003年）。</w:t>
      </w:r>
    </w:p>
  </w:footnote>
  <w:footnote w:id="172">
    <w:p w:rsidRPr="002A6771" w:rsidR="002A6771" w:rsidRDefault="002A6771" w14:paraId="2030C975" w14:textId="1F8F210F">
      <w:pPr>
        <w:pStyle w:val="FootnoteText"/>
      </w:pPr>
      <w:r>
        <w:rPr>
          <w:rStyle w:val="FootnoteReference"/>
        </w:rPr>
        <w:footnoteRef/>
      </w:r>
      <w:r>
        <w:t xml:space="preserve"> </w:t>
      </w:r>
      <w:r w:rsidRPr="004E3A22">
        <w:t xml:space="preserve">吉尔伯特·麦金尼斯，《机器语言与代码的神话性质》，</w:t>
      </w:r>
      <w:r w:rsidR="002D2226">
        <w:t xml:space="preserve">《人文与社会科学评论》第9卷第1期</w:t>
      </w:r>
      <w:r w:rsidR="006C1A1D">
        <w:t xml:space="preserve">，第467-478页，</w:t>
      </w:r>
      <w:r w:rsidR="002D2226">
        <w:t xml:space="preserve">第471页（2019年）。</w:t>
      </w:r>
    </w:p>
  </w:footnote>
  <w:footnote w:id="173">
    <w:p w:rsidRPr="00674C08" w:rsidR="000D0AF0" w:rsidRDefault="000D0AF0" w14:paraId="153BB810" w14:textId="50F40641">
      <w:pPr>
        <w:pStyle w:val="FootnoteText"/>
      </w:pPr>
      <w:r>
        <w:rPr>
          <w:rStyle w:val="FootnoteReference"/>
        </w:rPr>
        <w:footnoteRef/>
      </w:r>
      <w:r>
        <w:t xml:space="preserve"> </w:t>
      </w:r>
      <w:r w:rsidR="00674C08">
        <w:t xml:space="preserve">参见，例如，康斯坦丁·塞迪基德斯和W·基思·坎贝尔，</w:t>
      </w:r>
      <w:r w:rsidRPr="00674C08" w:rsidR="00674C08">
        <w:t xml:space="preserve">《关系情境中的自利偏见》</w:t>
      </w:r>
      <w:r w:rsidR="00674C08">
        <w:t xml:space="preserve">，《人格与社会心理学杂志》第74卷第2期</w:t>
      </w:r>
      <w:r w:rsidR="006C1A1D">
        <w:t xml:space="preserve">，第378-386页。</w:t>
      </w:r>
      <w:r w:rsidR="00674C08">
        <w:t xml:space="preserve"> </w:t>
      </w:r>
    </w:p>
  </w:footnote>
  <w:footnote w:id="174">
    <w:p w:rsidRPr="00674C08" w:rsidR="000D0AF0" w:rsidRDefault="000D0AF0" w14:paraId="301D9986" w14:textId="7E482A5F">
      <w:pPr>
        <w:pStyle w:val="FootnoteText"/>
      </w:pPr>
      <w:r>
        <w:rPr>
          <w:rStyle w:val="FootnoteReference"/>
        </w:rPr>
        <w:footnoteRef/>
      </w:r>
      <w:r>
        <w:t xml:space="preserve"> </w:t>
      </w:r>
      <w:r w:rsidR="00104DD1">
        <w:t xml:space="preserve">Youngme </w:t>
      </w:r>
      <w:r w:rsidR="00DC7FD2">
        <w:t xml:space="preserve">Moon，</w:t>
      </w:r>
      <w:r w:rsidRPr="00104DD1" w:rsidR="00104DD1">
        <w:t xml:space="preserve">《别怪电脑：当自我披露缓和自利偏见时》</w:t>
      </w:r>
      <w:r w:rsidR="00104DD1">
        <w:t xml:space="preserve">，《消费者心理学杂志》第13卷第1期，第125-137页（2003年）。 </w:t>
      </w:r>
      <w:r w:rsidR="003C6720">
        <w:t xml:space="preserve">但参见理查德·J·霍尔登（Richard J. Holden）的《是人还是系统？归咎于人是人之常情，解决之道在于工程设计》，</w:t>
      </w:r>
      <w:r w:rsidR="003C6720">
        <w:t xml:space="preserve">载于《</w:t>
      </w:r>
      <w:r w:rsidR="003C6720">
        <w:rPr>
          <w:i/>
          <w:iCs/>
        </w:rPr>
        <w:t xml:space="preserve">职业安全》</w:t>
      </w:r>
      <w:r w:rsidR="003C6720">
        <w:t xml:space="preserve">第54卷第12期，第34-41页（2009年）。</w:t>
      </w:r>
    </w:p>
  </w:footnote>
  <w:footnote w:id="175">
    <w:p w:rsidRPr="003C6720" w:rsidR="003C6720" w:rsidP="003C6720" w:rsidRDefault="003C6720" w14:paraId="183C4181" w14:textId="7454F589">
      <w:pPr>
        <w:pStyle w:val="FootnoteText"/>
      </w:pPr>
      <w:r>
        <w:rPr>
          <w:rStyle w:val="FootnoteReference"/>
        </w:rPr>
        <w:footnoteRef/>
      </w:r>
      <w:r>
        <w:t xml:space="preserve"> </w:t>
      </w:r>
      <w:r w:rsidRPr="004E3A22">
        <w:t xml:space="preserve">例如，这就是在</w:t>
      </w:r>
      <w:r w:rsidRPr="004E3A22">
        <w:t xml:space="preserve">枪支管制背景下</w:t>
      </w:r>
      <w:r w:rsidRPr="004E3A22">
        <w:t xml:space="preserve">提出的论点</w:t>
      </w:r>
      <w:r w:rsidRPr="004E3A22">
        <w:t xml:space="preserve">。 参见，例如，希思·J</w:t>
      </w:r>
      <w:r w:rsidRPr="004E3A22">
        <w:t xml:space="preserve">·霍奇斯</w:t>
      </w:r>
      <w:r>
        <w:t xml:space="preserve">和</w:t>
      </w:r>
      <w:r w:rsidRPr="004E3A22">
        <w:t xml:space="preserve">马里奥·斯卡洛拉，</w:t>
      </w:r>
      <w:r w:rsidRPr="004E3A22">
        <w:t xml:space="preserve">《挑战“枪支不会杀人，是疯子杀人！”这一政治假设》</w:t>
      </w:r>
      <w:r w:rsidRPr="004E3A22">
        <w:t xml:space="preserve">，</w:t>
      </w:r>
      <w:r>
        <w:t xml:space="preserve">内布拉斯加大学</w:t>
      </w:r>
      <w:r w:rsidRPr="004E3A22">
        <w:t xml:space="preserve">心理学系</w:t>
      </w:r>
      <w:r w:rsidRPr="004E3A22">
        <w:t xml:space="preserve">教师论文集</w:t>
      </w:r>
      <w:r>
        <w:t xml:space="preserve">，</w:t>
      </w:r>
      <w:r w:rsidRPr="004E3A22">
        <w:t xml:space="preserve">第817页</w:t>
      </w:r>
      <w:r>
        <w:t xml:space="preserve">（2015年）；可访问 [</w:t>
      </w:r>
      <w:r w:rsidRPr="003C6720">
        <w:t xml:space="preserve">http://digitalcommons.unl.edu/psychfacpub/817</w:t>
      </w:r>
      <w:r>
        <w:t xml:space="preserve">]。 </w:t>
      </w:r>
    </w:p>
  </w:footnote>
  <w:footnote w:id="176">
    <w:p w:rsidR="004817E5" w:rsidRDefault="00000000" w14:paraId="1086F541"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参见，例如，格列布·夫佐林（Gleb Vzorin），</w:t>
      </w:r>
      <w:r>
        <w:rPr>
          <w:rFonts w:ascii="Times New Roman" w:hAnsi="Times New Roman" w:cs="Times New Roman"/>
          <w:i/>
          <w:iCs/>
        </w:rPr>
        <w:t xml:space="preserve">《整合思维与机器：数字外化在认知架构演进中的作用》</w:t>
      </w:r>
      <w:r>
        <w:rPr>
          <w:rFonts w:ascii="Times New Roman" w:hAnsi="Times New Roman" w:cs="Times New Roman"/>
        </w:rPr>
        <w:t xml:space="preserve">，载于《HHAI 2024：</w:t>
      </w:r>
      <w:r>
        <w:rPr>
          <w:rFonts w:ascii="Times New Roman" w:hAnsi="Times New Roman" w:cs="Times New Roman"/>
          <w:smallCaps/>
        </w:rPr>
        <w:t xml:space="preserve">致力于</w:t>
      </w:r>
      <w:r>
        <w:rPr>
          <w:rFonts w:ascii="Times New Roman" w:hAnsi="Times New Roman" w:cs="Times New Roman"/>
          <w:smallCaps/>
        </w:rPr>
        <w:t xml:space="preserve">社会</w:t>
      </w:r>
      <w:r>
        <w:rPr>
          <w:rFonts w:ascii="Times New Roman" w:hAnsi="Times New Roman" w:cs="Times New Roman"/>
          <w:smallCaps/>
        </w:rPr>
        <w:t xml:space="preserve">公益的</w:t>
      </w:r>
      <w:r>
        <w:rPr>
          <w:rFonts w:ascii="Times New Roman" w:hAnsi="Times New Roman" w:cs="Times New Roman"/>
          <w:smallCaps/>
        </w:rPr>
        <w:t xml:space="preserve">混合</w:t>
      </w:r>
      <w:r>
        <w:rPr>
          <w:rFonts w:ascii="Times New Roman" w:hAnsi="Times New Roman" w:cs="Times New Roman"/>
          <w:smallCaps/>
        </w:rPr>
        <w:t xml:space="preserve">人</w:t>
      </w:r>
      <w:r>
        <w:rPr>
          <w:rFonts w:ascii="Times New Roman" w:hAnsi="Times New Roman" w:cs="Times New Roman"/>
        </w:rPr>
        <w:t xml:space="preserve">机智能</w:t>
      </w:r>
      <w:r>
        <w:rPr>
          <w:rFonts w:ascii="Times New Roman" w:hAnsi="Times New Roman" w:cs="Times New Roman"/>
          <w:smallCaps/>
        </w:rPr>
        <w:t xml:space="preserve">系统</w:t>
      </w:r>
      <w:r>
        <w:rPr>
          <w:rFonts w:ascii="Times New Roman" w:hAnsi="Times New Roman" w:cs="Times New Roman"/>
        </w:rPr>
        <w:t xml:space="preserve">》： </w:t>
      </w:r>
      <w:r>
        <w:rPr>
          <w:rFonts w:ascii="Times New Roman" w:hAnsi="Times New Roman" w:cs="Times New Roman"/>
          <w:smallCaps/>
        </w:rPr>
        <w:t xml:space="preserve">第三</w:t>
      </w:r>
      <w:r>
        <w:rPr>
          <w:rFonts w:ascii="Times New Roman" w:hAnsi="Times New Roman" w:cs="Times New Roman"/>
          <w:smallCaps/>
        </w:rPr>
        <w:t xml:space="preserve">届人机混合</w:t>
      </w:r>
      <w:r>
        <w:rPr>
          <w:rFonts w:ascii="Times New Roman" w:hAnsi="Times New Roman" w:cs="Times New Roman"/>
          <w:smallCaps/>
        </w:rPr>
        <w:t xml:space="preserve">人工智能</w:t>
      </w:r>
      <w:r>
        <w:rPr>
          <w:rFonts w:ascii="Times New Roman" w:hAnsi="Times New Roman" w:cs="Times New Roman"/>
          <w:smallCaps/>
        </w:rPr>
        <w:t xml:space="preserve">国际</w:t>
      </w:r>
      <w:r>
        <w:rPr>
          <w:rFonts w:ascii="Times New Roman" w:hAnsi="Times New Roman" w:cs="Times New Roman"/>
          <w:smallCaps/>
        </w:rPr>
        <w:t xml:space="preserve">会议</w:t>
      </w:r>
      <w:r>
        <w:rPr>
          <w:rFonts w:ascii="Times New Roman" w:hAnsi="Times New Roman" w:cs="Times New Roman"/>
          <w:smallCaps/>
        </w:rPr>
        <w:t xml:space="preserve">论文集</w:t>
      </w:r>
      <w:r>
        <w:rPr>
          <w:rFonts w:ascii="Times New Roman" w:hAnsi="Times New Roman" w:cs="Times New Roman"/>
        </w:rPr>
        <w:t xml:space="preserve"> 434-440（法比安·洛里格、杰森·塔克、亚当·达尔格伦·林斯特罗姆、弗兰克·迪格努姆、普拉迪普</w:t>
      </w:r>
      <w:r>
        <w:rPr>
          <w:rFonts w:ascii="Times New Roman" w:hAnsi="Times New Roman" w:cs="Times New Roman"/>
        </w:rPr>
        <w:t xml:space="preserve">·穆鲁卡纳亚</w:t>
      </w:r>
      <w:r>
        <w:rPr>
          <w:rFonts w:ascii="Times New Roman" w:hAnsi="Times New Roman" w:cs="Times New Roman"/>
        </w:rPr>
        <w:t xml:space="preserve">、安德烈亚斯·西奥多鲁和皮纳尔</w:t>
      </w:r>
      <w:r>
        <w:rPr>
          <w:rFonts w:ascii="Times New Roman" w:hAnsi="Times New Roman" w:cs="Times New Roman"/>
        </w:rPr>
        <w:t xml:space="preserve">·约卢姆</w:t>
      </w:r>
      <w:r>
        <w:rPr>
          <w:rFonts w:ascii="Times New Roman" w:hAnsi="Times New Roman" w:cs="Times New Roman"/>
        </w:rPr>
        <w:t xml:space="preserve">（编），IOS出版社，2024年）；可访问 DOI:10.3233/FAIA240218； 乔瓦尼·迪亚兹·阿尔法罗、斯蒂芬·M·菲奥雷和凯文·奥登，《</w:t>
      </w:r>
      <w:r>
        <w:rPr>
          <w:rFonts w:ascii="Times New Roman" w:hAnsi="Times New Roman" w:cs="Times New Roman"/>
          <w:i/>
          <w:iCs/>
        </w:rPr>
        <w:t xml:space="preserve">外部化与扩展认知：人机协作中的认知卸载</w:t>
      </w:r>
      <w:r>
        <w:rPr>
          <w:rFonts w:ascii="Times New Roman" w:hAnsi="Times New Roman" w:cs="Times New Roman"/>
        </w:rPr>
        <w:t xml:space="preserve">》，第68卷第1期</w:t>
      </w:r>
      <w:r>
        <w:rPr>
          <w:rFonts w:ascii="Times New Roman" w:hAnsi="Times New Roman" w:cs="Times New Roman"/>
          <w:smallCaps/>
        </w:rPr>
        <w:t xml:space="preserve">《</w:t>
      </w:r>
      <w:r>
        <w:rPr>
          <w:rFonts w:ascii="Times New Roman" w:hAnsi="Times New Roman" w:cs="Times New Roman"/>
          <w:smallCaps/>
        </w:rPr>
        <w:t xml:space="preserve">人类</w:t>
      </w:r>
      <w:r>
        <w:rPr>
          <w:rFonts w:ascii="Times New Roman" w:hAnsi="Times New Roman" w:cs="Times New Roman"/>
          <w:smallCaps/>
        </w:rPr>
        <w:t xml:space="preserve">因素与</w:t>
      </w:r>
      <w:r>
        <w:rPr>
          <w:rFonts w:ascii="Times New Roman" w:hAnsi="Times New Roman" w:cs="Times New Roman"/>
          <w:smallCaps/>
        </w:rPr>
        <w:t xml:space="preserve">人体</w:t>
      </w:r>
      <w:r>
        <w:rPr>
          <w:rFonts w:ascii="Times New Roman" w:hAnsi="Times New Roman" w:cs="Times New Roman"/>
          <w:smallCaps/>
        </w:rPr>
        <w:t xml:space="preserve">工程学</w:t>
      </w:r>
      <w:r>
        <w:rPr>
          <w:rFonts w:ascii="Times New Roman" w:hAnsi="Times New Roman" w:cs="Times New Roman"/>
          <w:smallCaps/>
        </w:rPr>
        <w:t xml:space="preserve">学会</w:t>
      </w:r>
      <w:r>
        <w:rPr>
          <w:rFonts w:ascii="Times New Roman" w:hAnsi="Times New Roman" w:cs="Times New Roman"/>
          <w:smallCaps/>
        </w:rPr>
        <w:t xml:space="preserve">年会</w:t>
      </w:r>
      <w:r>
        <w:rPr>
          <w:rFonts w:ascii="Times New Roman" w:hAnsi="Times New Roman" w:cs="Times New Roman"/>
          <w:smallCaps/>
        </w:rPr>
        <w:t xml:space="preserve">论文集》</w:t>
      </w:r>
      <w:r>
        <w:rPr>
          <w:rFonts w:ascii="Times New Roman" w:hAnsi="Times New Roman" w:cs="Times New Roman"/>
        </w:rPr>
        <w:t xml:space="preserve">第290-293页；可访问 https://doi.org/10.1177/1071181324127556</w:t>
      </w:r>
    </w:p>
  </w:footnote>
  <w:footnote w:id="177">
    <w:p w:rsidR="004817E5" w:rsidRDefault="00000000" w14:paraId="247B68F3"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参见，例如</w:t>
      </w:r>
      <w:r>
        <w:rPr>
          <w:rFonts w:ascii="Times New Roman" w:hAnsi="Times New Roman" w:cs="Times New Roman"/>
        </w:rPr>
        <w:t xml:space="preserve">，申东熙和威廉·T·比安科，</w:t>
      </w:r>
      <w:r>
        <w:rPr>
          <w:rFonts w:ascii="Times New Roman" w:hAnsi="Times New Roman" w:cs="Times New Roman"/>
          <w:i/>
          <w:iCs/>
        </w:rPr>
        <w:t xml:space="preserve">《我们信任区块链：区块链本身能否产生信任？</w:t>
      </w:r>
      <w:r>
        <w:rPr>
          <w:rFonts w:ascii="Times New Roman" w:hAnsi="Times New Roman" w:cs="Times New Roman"/>
        </w:rPr>
        <w:t xml:space="preserve">》</w:t>
      </w:r>
      <w:r>
        <w:rPr>
          <w:rFonts w:ascii="Times New Roman" w:hAnsi="Times New Roman" w:cs="Times New Roman"/>
          <w:i/>
          <w:iCs/>
        </w:rPr>
        <w:t xml:space="preserve">，</w:t>
      </w:r>
      <w:r>
        <w:rPr>
          <w:rFonts w:ascii="Times New Roman" w:hAnsi="Times New Roman" w:cs="Times New Roman"/>
          <w:smallCaps/>
        </w:rPr>
        <w:t xml:space="preserve">《</w:t>
      </w:r>
      <w:r>
        <w:rPr>
          <w:rFonts w:ascii="Times New Roman" w:hAnsi="Times New Roman" w:cs="Times New Roman"/>
          <w:smallCaps/>
        </w:rPr>
        <w:t xml:space="preserve">社会</w:t>
      </w:r>
      <w:r>
        <w:rPr>
          <w:rFonts w:ascii="Times New Roman" w:hAnsi="Times New Roman" w:cs="Times New Roman"/>
          <w:smallCaps/>
        </w:rPr>
        <w:t xml:space="preserve">科学季刊》</w:t>
      </w:r>
      <w:r>
        <w:rPr>
          <w:rFonts w:ascii="Times New Roman" w:hAnsi="Times New Roman" w:cs="Times New Roman"/>
        </w:rPr>
        <w:t xml:space="preserve">第101卷第7期</w:t>
      </w:r>
      <w:r>
        <w:rPr>
          <w:rFonts w:ascii="Times New Roman" w:hAnsi="Times New Roman" w:cs="Times New Roman"/>
        </w:rPr>
        <w:t xml:space="preserve">，第2522-2538页（2020年）；弗洛里安·霍利切克、</w:t>
      </w:r>
      <w:r>
        <w:rPr>
          <w:rFonts w:ascii="Times New Roman" w:hAnsi="Times New Roman" w:cs="Times New Roman"/>
        </w:rPr>
        <w:t xml:space="preserve">贝内迪克特·诺泰森</w:t>
      </w:r>
      <w:r>
        <w:rPr>
          <w:rFonts w:ascii="Times New Roman" w:hAnsi="Times New Roman" w:cs="Times New Roman"/>
        </w:rPr>
        <w:t xml:space="preserve">和蒂姆·托布纳，</w:t>
      </w:r>
      <w:r>
        <w:rPr>
          <w:rFonts w:ascii="Times New Roman" w:hAnsi="Times New Roman" w:cs="Times New Roman"/>
          <w:i/>
          <w:iCs/>
        </w:rPr>
        <w:t xml:space="preserve">《无信任系统的局限性： 关于区块链技术与共享经济中信任的文献综述</w:t>
      </w:r>
      <w:r>
        <w:rPr>
          <w:rFonts w:ascii="Times New Roman" w:hAnsi="Times New Roman" w:cs="Times New Roman"/>
        </w:rPr>
        <w:t xml:space="preserve">》，</w:t>
      </w:r>
      <w:r>
        <w:rPr>
          <w:rFonts w:ascii="Times New Roman" w:hAnsi="Times New Roman" w:cs="Times New Roman"/>
          <w:smallCaps/>
        </w:rPr>
        <w:t xml:space="preserve">《电子商务研究</w:t>
      </w:r>
      <w:r>
        <w:rPr>
          <w:rFonts w:ascii="Times New Roman" w:hAnsi="Times New Roman" w:cs="Times New Roman"/>
          <w:smallCaps/>
        </w:rPr>
        <w:t xml:space="preserve">与应用》</w:t>
      </w:r>
      <w:r>
        <w:rPr>
          <w:rFonts w:ascii="Times New Roman" w:hAnsi="Times New Roman" w:cs="Times New Roman"/>
        </w:rPr>
        <w:t xml:space="preserve">第29卷</w:t>
      </w:r>
      <w:r>
        <w:rPr>
          <w:rFonts w:ascii="Times New Roman" w:hAnsi="Times New Roman" w:cs="Times New Roman"/>
        </w:rPr>
        <w:t xml:space="preserve">，第50-63页（2018年）（“区块链技术不太可能消除共享经济中交易伙伴之间对信任的需求。然而，描述并评估其挑战当今信任构建方式的潜力仍具有重要意义。”）；巴克尔，</w:t>
      </w:r>
      <w:r>
        <w:rPr>
          <w:rFonts w:ascii="Times New Roman" w:hAnsi="Times New Roman" w:cs="Times New Roman"/>
          <w:i/>
          <w:iCs/>
        </w:rPr>
        <w:t xml:space="preserve">《信任平台》，同上</w:t>
      </w:r>
      <w:r>
        <w:rPr>
          <w:rFonts w:ascii="Times New Roman" w:hAnsi="Times New Roman" w:cs="Times New Roman"/>
        </w:rPr>
        <w:t xml:space="preser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80020855"/>
      <w:docPartObj>
        <w:docPartGallery w:val="Page Numbers (Top of Page)"/>
        <w:docPartUnique/>
      </w:docPartObj>
    </w:sdtPr>
    <w:sdtContent>
      <w:p w:rsidR="00843294" w:rsidP="0053406A" w:rsidRDefault="00843294" w14:paraId="4AAF4B0B" w14:textId="1979E759">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843294" w:rsidP="00843294" w:rsidRDefault="00843294" w14:paraId="2D3E9332" w14:textId="77777777">
    <w:pPr>
      <w:pStyle w:val="Header"/>
      <w:ind w:end="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Times New Roman" w:hAnsi="Times New Roman" w:cs="Times New Roman"/>
      </w:rPr>
      <w:id w:val="-1071109959"/>
      <w:docPartObj>
        <w:docPartGallery w:val="Page Numbers (Top of Page)"/>
        <w:docPartUnique/>
      </w:docPartObj>
    </w:sdtPr>
    <w:sdtContent>
      <w:p w:rsidRPr="00ED39E9" w:rsidR="00843294" w:rsidP="0053406A" w:rsidRDefault="00843294" w14:paraId="45C3AB50" w14:textId="3EE8A489">
        <w:pPr>
          <w:pStyle w:val="Header"/>
          <w:framePr w:wrap="none" w:hAnchor="margin" w:vAnchor="text" w:xAlign="right" w:y="1"/>
          <w:rPr>
            <w:rStyle w:val="PageNumber"/>
            <w:rFonts w:ascii="Times New Roman" w:hAnsi="Times New Roman" w:cs="Times New Roman"/>
          </w:rPr>
        </w:pPr>
        <w:r w:rsidRPr="00ED39E9">
          <w:rPr>
            <w:rStyle w:val="PageNumber"/>
            <w:rFonts w:ascii="Times New Roman" w:hAnsi="Times New Roman" w:cs="Times New Roman"/>
          </w:rPr>
          <w:fldChar w:fldCharType="begin"/>
        </w:r>
        <w:r w:rsidRPr="00ED39E9">
          <w:rPr>
            <w:rStyle w:val="PageNumber"/>
            <w:rFonts w:ascii="Times New Roman" w:hAnsi="Times New Roman" w:cs="Times New Roman"/>
          </w:rPr>
          <w:instrText xml:space="preserve"> PAGE </w:instrText>
        </w:r>
        <w:r w:rsidRPr="00ED39E9">
          <w:rPr>
            <w:rStyle w:val="PageNumber"/>
            <w:rFonts w:ascii="Times New Roman" w:hAnsi="Times New Roman" w:cs="Times New Roman"/>
          </w:rPr>
          <w:fldChar w:fldCharType="separate"/>
        </w:r>
        <w:r w:rsidRPr="00ED39E9">
          <w:rPr>
            <w:rStyle w:val="PageNumber"/>
            <w:rFonts w:ascii="Times New Roman" w:hAnsi="Times New Roman" w:cs="Times New Roman"/>
            <w:noProof/>
          </w:rPr>
          <w:t>1</w:t>
        </w:r>
        <w:r w:rsidRPr="00ED39E9">
          <w:rPr>
            <w:rStyle w:val="PageNumber"/>
            <w:rFonts w:ascii="Times New Roman" w:hAnsi="Times New Roman" w:cs="Times New Roman"/>
          </w:rPr>
          <w:fldChar w:fldCharType="end"/>
        </w:r>
      </w:p>
    </w:sdtContent>
  </w:sdt>
  <w:p w:rsidRPr="00ED39E9" w:rsidR="00843294" w:rsidP="00843294" w:rsidRDefault="00843294" w14:paraId="70E6D3D1" w14:textId="77777777">
    <w:pPr>
      <w:pStyle w:val="Header"/>
      <w:ind w:end="360"/>
      <w:rPr>
        <w:rFonts w:ascii="Times New Roman" w:hAnsi="Times New Roman" w:cs="Times New Roman"/>
        <w:i/>
        <w:iCs/>
        <w:sz w:val="18"/>
        <w:szCs w:val="18"/>
      </w:rPr>
    </w:pPr>
    <w:r w:rsidRPr="00ED39E9">
      <w:rPr>
        <w:rFonts w:ascii="Times New Roman" w:hAnsi="Times New Roman" w:cs="Times New Roman"/>
        <w:i/>
        <w:iCs/>
        <w:sz w:val="18"/>
        <w:szCs w:val="18"/>
      </w:rPr>
      <w:t xml:space="preserve">区块链监管体系：概念与操作层面的挑战</w:t>
    </w:r>
  </w:p>
  <w:p w:rsidRPr="00ED39E9" w:rsidR="00843294" w:rsidP="00843294" w:rsidRDefault="00843294" w14:paraId="5AB3ABD9" w14:textId="6B8F51BC">
    <w:pPr>
      <w:pStyle w:val="Header"/>
      <w:rPr>
        <w:rFonts w:ascii="Times New Roman" w:hAnsi="Times New Roman" w:cs="Times New Roman"/>
        <w:sz w:val="18"/>
        <w:szCs w:val="18"/>
      </w:rPr>
    </w:pPr>
    <w:r w:rsidRPr="00ED39E9">
      <w:rPr>
        <w:rFonts w:ascii="Times New Roman" w:hAnsi="Times New Roman" w:cs="Times New Roman"/>
        <w:sz w:val="18"/>
        <w:szCs w:val="18"/>
      </w:rPr>
      <w:t xml:space="preserve">拉里·卡塔·巴克</w:t>
    </w:r>
    <w:r w:rsidR="00DD6EF1">
      <w:rPr>
        <w:rFonts w:ascii="Times New Roman" w:hAnsi="Times New Roman" w:cs="Times New Roman"/>
        <w:sz w:val="18"/>
        <w:szCs w:val="18"/>
      </w:rPr>
      <w:t xml:space="preserve">，丹尼尔·罗斯</w:t>
    </w:r>
  </w:p>
  <w:p w:rsidR="004817E5" w:rsidRDefault="006E1987" w14:paraId="7ADC7E98" w14:textId="4BBFA63C">
    <w:pPr>
      <w:pStyle w:val="Header"/>
      <w:rPr>
        <w:rFonts w:ascii="Times New Roman" w:hAnsi="Times New Roman" w:cs="Times New Roman"/>
        <w:sz w:val="18"/>
        <w:szCs w:val="18"/>
      </w:rPr>
    </w:pPr>
    <w:r>
      <w:rPr>
        <w:rFonts w:ascii="Times New Roman" w:hAnsi="Times New Roman" w:cs="Times New Roman"/>
        <w:sz w:val="18"/>
        <w:szCs w:val="18"/>
      </w:rPr>
      <w:t xml:space="preserve">修订版提交草案 2026年11月8日</w:t>
    </w:r>
  </w:p>
  <w:p w:rsidRPr="00ED39E9" w:rsidR="00843294" w:rsidP="00843294" w:rsidRDefault="00000000" w14:paraId="6AB590C5" w14:textId="27F958C8">
    <w:pPr>
      <w:pStyle w:val="Header"/>
      <w:rPr>
        <w:rFonts w:ascii="Times New Roman" w:hAnsi="Times New Roman" w:cs="Times New Roman"/>
        <w:sz w:val="18"/>
        <w:szCs w:val="18"/>
      </w:rPr>
    </w:pPr>
    <w:bdo w:val="ltr">
      <w:r>
        <w:t>‬</w:t>
      </w:r>
      <w:bdo w:val="ltr">
        <w:r>
          <w:t>‬</w:t>
        </w:r>
        <w:r>
          <w:t>‬</w:t>
        </w:r>
        <w:r>
          <w:t>‬</w:t>
        </w:r>
        <w:r>
          <w:t>‬</w:t>
        </w:r>
        <w:r>
          <w:t>‬</w:t>
        </w:r>
        <w:r>
          <w:t>‬</w:t>
        </w:r>
        <w:r>
          <w:t>‬</w:t>
        </w:r>
        <w:r>
          <w:t>‬</w:t>
        </w:r>
        <w:r>
          <w:t>‬</w:t>
        </w:r>
        <w:r>
          <w:t>‬</w:t>
        </w:r>
        <w:r>
          <w:t>‬</w:t>
        </w:r>
        <w:r>
          <w:t>‬</w:t>
        </w:r>
        <w:r>
          <w:t>‬</w:t>
        </w:r>
        <w:r>
          <w:t>‬</w:t>
        </w:r>
        <w:r>
          <w:t>‬</w:t>
        </w:r>
      </w:bdo>
    </w:bdo>
  </w:p>
  <w:p w:rsidRPr="00ED39E9" w:rsidR="00843294" w:rsidP="00843294" w:rsidRDefault="00843294" w14:paraId="396DB9EF" w14:textId="77777777">
    <w:pPr>
      <w:pStyle w:val="Header"/>
      <w:rPr>
        <w:rFonts w:ascii="Times New Roman" w:hAnsi="Times New Roman" w:cs="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3AE694D"/>
    <w:multiLevelType w:val="multilevel"/>
    <w:tmpl w:val="E8A0FA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8260151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07"/>
    <w:rsid w:val="000001E1"/>
    <w:rsid w:val="00005AEB"/>
    <w:rsid w:val="00006A10"/>
    <w:rsid w:val="0000737B"/>
    <w:rsid w:val="00012504"/>
    <w:rsid w:val="000149D5"/>
    <w:rsid w:val="0001602B"/>
    <w:rsid w:val="00017F7A"/>
    <w:rsid w:val="000250A1"/>
    <w:rsid w:val="000267A2"/>
    <w:rsid w:val="0002749D"/>
    <w:rsid w:val="00027824"/>
    <w:rsid w:val="000328BB"/>
    <w:rsid w:val="00033443"/>
    <w:rsid w:val="00036D9F"/>
    <w:rsid w:val="0004154E"/>
    <w:rsid w:val="000449B0"/>
    <w:rsid w:val="00044AC7"/>
    <w:rsid w:val="0004589F"/>
    <w:rsid w:val="00046E8D"/>
    <w:rsid w:val="00047176"/>
    <w:rsid w:val="00047552"/>
    <w:rsid w:val="000505C9"/>
    <w:rsid w:val="0005150F"/>
    <w:rsid w:val="000516B1"/>
    <w:rsid w:val="000520C5"/>
    <w:rsid w:val="0006057C"/>
    <w:rsid w:val="00060C09"/>
    <w:rsid w:val="00062B76"/>
    <w:rsid w:val="0006360D"/>
    <w:rsid w:val="00063A01"/>
    <w:rsid w:val="00064517"/>
    <w:rsid w:val="00064BAE"/>
    <w:rsid w:val="00064F75"/>
    <w:rsid w:val="000655B8"/>
    <w:rsid w:val="00067A1C"/>
    <w:rsid w:val="00077B2C"/>
    <w:rsid w:val="00080F61"/>
    <w:rsid w:val="0008218E"/>
    <w:rsid w:val="00084877"/>
    <w:rsid w:val="00090631"/>
    <w:rsid w:val="0009219A"/>
    <w:rsid w:val="00093AF0"/>
    <w:rsid w:val="000969E5"/>
    <w:rsid w:val="000A1DD9"/>
    <w:rsid w:val="000A785A"/>
    <w:rsid w:val="000B16BF"/>
    <w:rsid w:val="000B510A"/>
    <w:rsid w:val="000B53EF"/>
    <w:rsid w:val="000B6376"/>
    <w:rsid w:val="000B6D2A"/>
    <w:rsid w:val="000C2AC2"/>
    <w:rsid w:val="000C441B"/>
    <w:rsid w:val="000D0AAA"/>
    <w:rsid w:val="000D0AF0"/>
    <w:rsid w:val="000D5AB8"/>
    <w:rsid w:val="000D5ED5"/>
    <w:rsid w:val="000E0A80"/>
    <w:rsid w:val="000E140A"/>
    <w:rsid w:val="000E488C"/>
    <w:rsid w:val="000E5050"/>
    <w:rsid w:val="000E5A29"/>
    <w:rsid w:val="000E6201"/>
    <w:rsid w:val="000F055E"/>
    <w:rsid w:val="000F0B6C"/>
    <w:rsid w:val="000F1D7F"/>
    <w:rsid w:val="000F2AC5"/>
    <w:rsid w:val="000F71CD"/>
    <w:rsid w:val="0010181C"/>
    <w:rsid w:val="00102A97"/>
    <w:rsid w:val="00103510"/>
    <w:rsid w:val="001042C2"/>
    <w:rsid w:val="0010459A"/>
    <w:rsid w:val="00104DD1"/>
    <w:rsid w:val="00110A29"/>
    <w:rsid w:val="00111237"/>
    <w:rsid w:val="001114D4"/>
    <w:rsid w:val="0011374F"/>
    <w:rsid w:val="001161A4"/>
    <w:rsid w:val="001300AB"/>
    <w:rsid w:val="00130B6F"/>
    <w:rsid w:val="00133890"/>
    <w:rsid w:val="0013466A"/>
    <w:rsid w:val="00135CDD"/>
    <w:rsid w:val="00135EAB"/>
    <w:rsid w:val="00136131"/>
    <w:rsid w:val="001377A8"/>
    <w:rsid w:val="00137D6D"/>
    <w:rsid w:val="00141299"/>
    <w:rsid w:val="0014194B"/>
    <w:rsid w:val="001457F7"/>
    <w:rsid w:val="001467AE"/>
    <w:rsid w:val="00150C57"/>
    <w:rsid w:val="0015259D"/>
    <w:rsid w:val="001538BB"/>
    <w:rsid w:val="00155A12"/>
    <w:rsid w:val="001647B2"/>
    <w:rsid w:val="00170A46"/>
    <w:rsid w:val="00170CC5"/>
    <w:rsid w:val="00171401"/>
    <w:rsid w:val="00171EDB"/>
    <w:rsid w:val="0017559B"/>
    <w:rsid w:val="00175CE8"/>
    <w:rsid w:val="00177990"/>
    <w:rsid w:val="00177C25"/>
    <w:rsid w:val="001829C4"/>
    <w:rsid w:val="00185B9B"/>
    <w:rsid w:val="00191402"/>
    <w:rsid w:val="00191DFD"/>
    <w:rsid w:val="00192879"/>
    <w:rsid w:val="00195A36"/>
    <w:rsid w:val="00196FEA"/>
    <w:rsid w:val="001974E0"/>
    <w:rsid w:val="00197AA9"/>
    <w:rsid w:val="001A060C"/>
    <w:rsid w:val="001A118E"/>
    <w:rsid w:val="001A1587"/>
    <w:rsid w:val="001A2419"/>
    <w:rsid w:val="001A273C"/>
    <w:rsid w:val="001A4A95"/>
    <w:rsid w:val="001A4D88"/>
    <w:rsid w:val="001B4AB2"/>
    <w:rsid w:val="001B7893"/>
    <w:rsid w:val="001B7C76"/>
    <w:rsid w:val="001C0E70"/>
    <w:rsid w:val="001C1574"/>
    <w:rsid w:val="001C20CC"/>
    <w:rsid w:val="001C35A2"/>
    <w:rsid w:val="001C4178"/>
    <w:rsid w:val="001C49B4"/>
    <w:rsid w:val="001C4C29"/>
    <w:rsid w:val="001C4CC0"/>
    <w:rsid w:val="001C6986"/>
    <w:rsid w:val="001C7CEB"/>
    <w:rsid w:val="001D0B85"/>
    <w:rsid w:val="001D5B3F"/>
    <w:rsid w:val="001E1D04"/>
    <w:rsid w:val="001E3668"/>
    <w:rsid w:val="001E60E8"/>
    <w:rsid w:val="001F1E43"/>
    <w:rsid w:val="001F21E5"/>
    <w:rsid w:val="001F41F1"/>
    <w:rsid w:val="001F4EB9"/>
    <w:rsid w:val="001F6615"/>
    <w:rsid w:val="001F6870"/>
    <w:rsid w:val="001F699E"/>
    <w:rsid w:val="00200D8E"/>
    <w:rsid w:val="00202F27"/>
    <w:rsid w:val="002048A4"/>
    <w:rsid w:val="002049A9"/>
    <w:rsid w:val="00204A55"/>
    <w:rsid w:val="00211F20"/>
    <w:rsid w:val="00212428"/>
    <w:rsid w:val="00213538"/>
    <w:rsid w:val="002142DA"/>
    <w:rsid w:val="002147F4"/>
    <w:rsid w:val="00214F36"/>
    <w:rsid w:val="002162E0"/>
    <w:rsid w:val="00216BFF"/>
    <w:rsid w:val="00217B08"/>
    <w:rsid w:val="0022108B"/>
    <w:rsid w:val="0022126F"/>
    <w:rsid w:val="002232F2"/>
    <w:rsid w:val="00224989"/>
    <w:rsid w:val="002250C4"/>
    <w:rsid w:val="00227EF9"/>
    <w:rsid w:val="00231BD9"/>
    <w:rsid w:val="0023205D"/>
    <w:rsid w:val="0023370E"/>
    <w:rsid w:val="0023658B"/>
    <w:rsid w:val="0023674E"/>
    <w:rsid w:val="002367CB"/>
    <w:rsid w:val="002400D9"/>
    <w:rsid w:val="002431D6"/>
    <w:rsid w:val="002442C0"/>
    <w:rsid w:val="0024494C"/>
    <w:rsid w:val="00250B67"/>
    <w:rsid w:val="002519F6"/>
    <w:rsid w:val="0025331E"/>
    <w:rsid w:val="002563E0"/>
    <w:rsid w:val="00257379"/>
    <w:rsid w:val="0026484E"/>
    <w:rsid w:val="0026513F"/>
    <w:rsid w:val="00266CB3"/>
    <w:rsid w:val="00275173"/>
    <w:rsid w:val="00277770"/>
    <w:rsid w:val="0028053A"/>
    <w:rsid w:val="00280CAD"/>
    <w:rsid w:val="00280D00"/>
    <w:rsid w:val="0028361E"/>
    <w:rsid w:val="00284D93"/>
    <w:rsid w:val="00285E63"/>
    <w:rsid w:val="00291DE8"/>
    <w:rsid w:val="002979EF"/>
    <w:rsid w:val="002A3D80"/>
    <w:rsid w:val="002A6771"/>
    <w:rsid w:val="002A7D8E"/>
    <w:rsid w:val="002B2FAC"/>
    <w:rsid w:val="002C033D"/>
    <w:rsid w:val="002C0735"/>
    <w:rsid w:val="002C102D"/>
    <w:rsid w:val="002C4459"/>
    <w:rsid w:val="002C7209"/>
    <w:rsid w:val="002D1F0F"/>
    <w:rsid w:val="002D2226"/>
    <w:rsid w:val="002D2533"/>
    <w:rsid w:val="002D3124"/>
    <w:rsid w:val="002D4019"/>
    <w:rsid w:val="002D6C92"/>
    <w:rsid w:val="002D7E43"/>
    <w:rsid w:val="002E141C"/>
    <w:rsid w:val="002E1EA8"/>
    <w:rsid w:val="002E3F2B"/>
    <w:rsid w:val="002E456C"/>
    <w:rsid w:val="002E64A5"/>
    <w:rsid w:val="00302EBA"/>
    <w:rsid w:val="00303489"/>
    <w:rsid w:val="003038E2"/>
    <w:rsid w:val="00303F19"/>
    <w:rsid w:val="00304AD0"/>
    <w:rsid w:val="0030598F"/>
    <w:rsid w:val="00306A47"/>
    <w:rsid w:val="003070C2"/>
    <w:rsid w:val="00307CC3"/>
    <w:rsid w:val="003118D2"/>
    <w:rsid w:val="00312B5F"/>
    <w:rsid w:val="00313C84"/>
    <w:rsid w:val="00317FE7"/>
    <w:rsid w:val="00320187"/>
    <w:rsid w:val="00321393"/>
    <w:rsid w:val="0032513A"/>
    <w:rsid w:val="00325F40"/>
    <w:rsid w:val="00326FDC"/>
    <w:rsid w:val="003271E3"/>
    <w:rsid w:val="00332F7C"/>
    <w:rsid w:val="00334DF3"/>
    <w:rsid w:val="0033524D"/>
    <w:rsid w:val="00335C16"/>
    <w:rsid w:val="003376E1"/>
    <w:rsid w:val="00337D72"/>
    <w:rsid w:val="00342882"/>
    <w:rsid w:val="00343A7B"/>
    <w:rsid w:val="003441F2"/>
    <w:rsid w:val="00344EB3"/>
    <w:rsid w:val="00344F8D"/>
    <w:rsid w:val="00345591"/>
    <w:rsid w:val="00346620"/>
    <w:rsid w:val="00347230"/>
    <w:rsid w:val="00352061"/>
    <w:rsid w:val="003542D6"/>
    <w:rsid w:val="00357393"/>
    <w:rsid w:val="003574BD"/>
    <w:rsid w:val="00357E08"/>
    <w:rsid w:val="00362DE2"/>
    <w:rsid w:val="003640FD"/>
    <w:rsid w:val="0036540A"/>
    <w:rsid w:val="00371F1C"/>
    <w:rsid w:val="003731A2"/>
    <w:rsid w:val="00373F97"/>
    <w:rsid w:val="003771F4"/>
    <w:rsid w:val="003830C3"/>
    <w:rsid w:val="0038363B"/>
    <w:rsid w:val="0038478C"/>
    <w:rsid w:val="00384919"/>
    <w:rsid w:val="003853D8"/>
    <w:rsid w:val="003853EF"/>
    <w:rsid w:val="00386EF3"/>
    <w:rsid w:val="00391866"/>
    <w:rsid w:val="0039386B"/>
    <w:rsid w:val="003951FF"/>
    <w:rsid w:val="003A0FA2"/>
    <w:rsid w:val="003A188E"/>
    <w:rsid w:val="003A2E98"/>
    <w:rsid w:val="003A4FCE"/>
    <w:rsid w:val="003A51C1"/>
    <w:rsid w:val="003A562B"/>
    <w:rsid w:val="003B3C53"/>
    <w:rsid w:val="003B4412"/>
    <w:rsid w:val="003B6955"/>
    <w:rsid w:val="003C00A1"/>
    <w:rsid w:val="003C44BD"/>
    <w:rsid w:val="003C496D"/>
    <w:rsid w:val="003C6720"/>
    <w:rsid w:val="003C6DAC"/>
    <w:rsid w:val="003D11FE"/>
    <w:rsid w:val="003D5A83"/>
    <w:rsid w:val="003D7491"/>
    <w:rsid w:val="003E081C"/>
    <w:rsid w:val="003E148E"/>
    <w:rsid w:val="003E2132"/>
    <w:rsid w:val="003E31EE"/>
    <w:rsid w:val="003E3990"/>
    <w:rsid w:val="003E3F81"/>
    <w:rsid w:val="003E3FBE"/>
    <w:rsid w:val="003F0195"/>
    <w:rsid w:val="003F085C"/>
    <w:rsid w:val="003F120A"/>
    <w:rsid w:val="003F30D4"/>
    <w:rsid w:val="003F3214"/>
    <w:rsid w:val="003F497B"/>
    <w:rsid w:val="003F6FF0"/>
    <w:rsid w:val="00400DA2"/>
    <w:rsid w:val="00402E1C"/>
    <w:rsid w:val="00406D41"/>
    <w:rsid w:val="00411080"/>
    <w:rsid w:val="00413C30"/>
    <w:rsid w:val="00415236"/>
    <w:rsid w:val="004175F7"/>
    <w:rsid w:val="0042167D"/>
    <w:rsid w:val="004233BE"/>
    <w:rsid w:val="00423D55"/>
    <w:rsid w:val="004263C1"/>
    <w:rsid w:val="00427B1A"/>
    <w:rsid w:val="0043063C"/>
    <w:rsid w:val="00432373"/>
    <w:rsid w:val="0043391D"/>
    <w:rsid w:val="00433E65"/>
    <w:rsid w:val="004356C7"/>
    <w:rsid w:val="004357E7"/>
    <w:rsid w:val="004359E0"/>
    <w:rsid w:val="004379EC"/>
    <w:rsid w:val="00437CAA"/>
    <w:rsid w:val="004417C6"/>
    <w:rsid w:val="0044776B"/>
    <w:rsid w:val="00451953"/>
    <w:rsid w:val="004521E6"/>
    <w:rsid w:val="004523F7"/>
    <w:rsid w:val="004547DF"/>
    <w:rsid w:val="004549B9"/>
    <w:rsid w:val="00462842"/>
    <w:rsid w:val="004645D6"/>
    <w:rsid w:val="00465295"/>
    <w:rsid w:val="004669A2"/>
    <w:rsid w:val="0047064A"/>
    <w:rsid w:val="00471B94"/>
    <w:rsid w:val="00471C57"/>
    <w:rsid w:val="004756AB"/>
    <w:rsid w:val="00475858"/>
    <w:rsid w:val="004777E6"/>
    <w:rsid w:val="004817E5"/>
    <w:rsid w:val="004832FB"/>
    <w:rsid w:val="004833EC"/>
    <w:rsid w:val="00483994"/>
    <w:rsid w:val="00484A1B"/>
    <w:rsid w:val="00490A6E"/>
    <w:rsid w:val="0049335A"/>
    <w:rsid w:val="00494CB8"/>
    <w:rsid w:val="0049760A"/>
    <w:rsid w:val="004A01AE"/>
    <w:rsid w:val="004A0EED"/>
    <w:rsid w:val="004A1521"/>
    <w:rsid w:val="004A2B40"/>
    <w:rsid w:val="004A4926"/>
    <w:rsid w:val="004B62DF"/>
    <w:rsid w:val="004B65EC"/>
    <w:rsid w:val="004C1CFA"/>
    <w:rsid w:val="004C2A56"/>
    <w:rsid w:val="004C5A4E"/>
    <w:rsid w:val="004D0F60"/>
    <w:rsid w:val="004D0F78"/>
    <w:rsid w:val="004D3977"/>
    <w:rsid w:val="004D4A4B"/>
    <w:rsid w:val="004D553C"/>
    <w:rsid w:val="004E2D94"/>
    <w:rsid w:val="004E3A22"/>
    <w:rsid w:val="004E51D2"/>
    <w:rsid w:val="004E780D"/>
    <w:rsid w:val="004F0020"/>
    <w:rsid w:val="004F0C91"/>
    <w:rsid w:val="004F1627"/>
    <w:rsid w:val="004F24A9"/>
    <w:rsid w:val="004F267F"/>
    <w:rsid w:val="004F385C"/>
    <w:rsid w:val="004F4B5A"/>
    <w:rsid w:val="004F672D"/>
    <w:rsid w:val="004F7DE6"/>
    <w:rsid w:val="004F7DEA"/>
    <w:rsid w:val="00500853"/>
    <w:rsid w:val="00500950"/>
    <w:rsid w:val="005020CA"/>
    <w:rsid w:val="0050330F"/>
    <w:rsid w:val="00503C57"/>
    <w:rsid w:val="0050419F"/>
    <w:rsid w:val="00504997"/>
    <w:rsid w:val="00507510"/>
    <w:rsid w:val="0051077A"/>
    <w:rsid w:val="00510E4F"/>
    <w:rsid w:val="00511634"/>
    <w:rsid w:val="005122D9"/>
    <w:rsid w:val="00512B24"/>
    <w:rsid w:val="00514512"/>
    <w:rsid w:val="00517365"/>
    <w:rsid w:val="005173D3"/>
    <w:rsid w:val="00520E84"/>
    <w:rsid w:val="005257CC"/>
    <w:rsid w:val="00525D1A"/>
    <w:rsid w:val="005270FD"/>
    <w:rsid w:val="00527AFE"/>
    <w:rsid w:val="005313AC"/>
    <w:rsid w:val="00532133"/>
    <w:rsid w:val="0053322D"/>
    <w:rsid w:val="0053663E"/>
    <w:rsid w:val="00537033"/>
    <w:rsid w:val="0053765F"/>
    <w:rsid w:val="00537BBB"/>
    <w:rsid w:val="00543739"/>
    <w:rsid w:val="00543BB9"/>
    <w:rsid w:val="005458FA"/>
    <w:rsid w:val="00546611"/>
    <w:rsid w:val="005477FE"/>
    <w:rsid w:val="00550997"/>
    <w:rsid w:val="00551427"/>
    <w:rsid w:val="00552591"/>
    <w:rsid w:val="005570C8"/>
    <w:rsid w:val="005572A1"/>
    <w:rsid w:val="00557485"/>
    <w:rsid w:val="00560607"/>
    <w:rsid w:val="00561EFF"/>
    <w:rsid w:val="0056596B"/>
    <w:rsid w:val="00566423"/>
    <w:rsid w:val="0056706B"/>
    <w:rsid w:val="005672CE"/>
    <w:rsid w:val="00572582"/>
    <w:rsid w:val="00581D25"/>
    <w:rsid w:val="00581F86"/>
    <w:rsid w:val="00583CCD"/>
    <w:rsid w:val="00586499"/>
    <w:rsid w:val="00591D41"/>
    <w:rsid w:val="00593C54"/>
    <w:rsid w:val="00594214"/>
    <w:rsid w:val="00594E2C"/>
    <w:rsid w:val="00595A29"/>
    <w:rsid w:val="0059613C"/>
    <w:rsid w:val="005A2582"/>
    <w:rsid w:val="005A3FB8"/>
    <w:rsid w:val="005A47AE"/>
    <w:rsid w:val="005A4CCB"/>
    <w:rsid w:val="005A5771"/>
    <w:rsid w:val="005B0AB5"/>
    <w:rsid w:val="005B0B4E"/>
    <w:rsid w:val="005B1850"/>
    <w:rsid w:val="005B285B"/>
    <w:rsid w:val="005B297A"/>
    <w:rsid w:val="005B5A48"/>
    <w:rsid w:val="005B6D9D"/>
    <w:rsid w:val="005B76BD"/>
    <w:rsid w:val="005C04C7"/>
    <w:rsid w:val="005C1E5E"/>
    <w:rsid w:val="005C6163"/>
    <w:rsid w:val="005D267B"/>
    <w:rsid w:val="005D3C16"/>
    <w:rsid w:val="005D3E5C"/>
    <w:rsid w:val="005D4225"/>
    <w:rsid w:val="005D4CD9"/>
    <w:rsid w:val="005D6A7F"/>
    <w:rsid w:val="005D760D"/>
    <w:rsid w:val="005E15B0"/>
    <w:rsid w:val="005E1D5F"/>
    <w:rsid w:val="005E3F68"/>
    <w:rsid w:val="005E5D77"/>
    <w:rsid w:val="005F271D"/>
    <w:rsid w:val="005F477F"/>
    <w:rsid w:val="005F49D5"/>
    <w:rsid w:val="005F6126"/>
    <w:rsid w:val="005F6139"/>
    <w:rsid w:val="005F6A81"/>
    <w:rsid w:val="005F6DEF"/>
    <w:rsid w:val="005F7EF0"/>
    <w:rsid w:val="00602BF8"/>
    <w:rsid w:val="006041EC"/>
    <w:rsid w:val="0060506C"/>
    <w:rsid w:val="0061037E"/>
    <w:rsid w:val="00611C70"/>
    <w:rsid w:val="00614AF2"/>
    <w:rsid w:val="0061542C"/>
    <w:rsid w:val="00617254"/>
    <w:rsid w:val="00620936"/>
    <w:rsid w:val="006229AB"/>
    <w:rsid w:val="006234F1"/>
    <w:rsid w:val="0062606F"/>
    <w:rsid w:val="006272D6"/>
    <w:rsid w:val="00631020"/>
    <w:rsid w:val="006340FC"/>
    <w:rsid w:val="00637793"/>
    <w:rsid w:val="006411F8"/>
    <w:rsid w:val="00641B3E"/>
    <w:rsid w:val="006427E7"/>
    <w:rsid w:val="006468A7"/>
    <w:rsid w:val="006475FD"/>
    <w:rsid w:val="006553F8"/>
    <w:rsid w:val="006611A5"/>
    <w:rsid w:val="00661AA8"/>
    <w:rsid w:val="00665879"/>
    <w:rsid w:val="00665AA4"/>
    <w:rsid w:val="00667967"/>
    <w:rsid w:val="00667CFB"/>
    <w:rsid w:val="006701CD"/>
    <w:rsid w:val="00670B76"/>
    <w:rsid w:val="00674548"/>
    <w:rsid w:val="00674C08"/>
    <w:rsid w:val="00674F62"/>
    <w:rsid w:val="00675B48"/>
    <w:rsid w:val="00675C8C"/>
    <w:rsid w:val="006761C3"/>
    <w:rsid w:val="00676348"/>
    <w:rsid w:val="00676611"/>
    <w:rsid w:val="00683002"/>
    <w:rsid w:val="00683272"/>
    <w:rsid w:val="00683520"/>
    <w:rsid w:val="00683980"/>
    <w:rsid w:val="00684698"/>
    <w:rsid w:val="00686DD6"/>
    <w:rsid w:val="006908CD"/>
    <w:rsid w:val="006924C4"/>
    <w:rsid w:val="00692EE6"/>
    <w:rsid w:val="00696C2D"/>
    <w:rsid w:val="006A763F"/>
    <w:rsid w:val="006B1D16"/>
    <w:rsid w:val="006B400B"/>
    <w:rsid w:val="006B42AD"/>
    <w:rsid w:val="006C0F15"/>
    <w:rsid w:val="006C12F7"/>
    <w:rsid w:val="006C1A1D"/>
    <w:rsid w:val="006C54E2"/>
    <w:rsid w:val="006D42DC"/>
    <w:rsid w:val="006D5C17"/>
    <w:rsid w:val="006E0AD6"/>
    <w:rsid w:val="006E1987"/>
    <w:rsid w:val="006E50B4"/>
    <w:rsid w:val="006E5439"/>
    <w:rsid w:val="006E6407"/>
    <w:rsid w:val="006E6AB0"/>
    <w:rsid w:val="006E6DC9"/>
    <w:rsid w:val="006E7135"/>
    <w:rsid w:val="006F25ED"/>
    <w:rsid w:val="006F3485"/>
    <w:rsid w:val="006F3C5D"/>
    <w:rsid w:val="00701E7B"/>
    <w:rsid w:val="00703AF0"/>
    <w:rsid w:val="00707507"/>
    <w:rsid w:val="00710A9C"/>
    <w:rsid w:val="00710E02"/>
    <w:rsid w:val="00711E90"/>
    <w:rsid w:val="00713219"/>
    <w:rsid w:val="00714942"/>
    <w:rsid w:val="00715BB1"/>
    <w:rsid w:val="0072058A"/>
    <w:rsid w:val="007215CC"/>
    <w:rsid w:val="007217C3"/>
    <w:rsid w:val="007222BF"/>
    <w:rsid w:val="00722628"/>
    <w:rsid w:val="00722747"/>
    <w:rsid w:val="007242B8"/>
    <w:rsid w:val="007245FD"/>
    <w:rsid w:val="00727503"/>
    <w:rsid w:val="00730BD3"/>
    <w:rsid w:val="007310D6"/>
    <w:rsid w:val="00735CBD"/>
    <w:rsid w:val="00742ABE"/>
    <w:rsid w:val="00747851"/>
    <w:rsid w:val="00750139"/>
    <w:rsid w:val="007537D4"/>
    <w:rsid w:val="0075432F"/>
    <w:rsid w:val="007549B1"/>
    <w:rsid w:val="00755639"/>
    <w:rsid w:val="00756443"/>
    <w:rsid w:val="00757812"/>
    <w:rsid w:val="00757F44"/>
    <w:rsid w:val="007606E0"/>
    <w:rsid w:val="00762FCD"/>
    <w:rsid w:val="0076315A"/>
    <w:rsid w:val="00764ED9"/>
    <w:rsid w:val="00765420"/>
    <w:rsid w:val="007659F8"/>
    <w:rsid w:val="007663AF"/>
    <w:rsid w:val="00771AF9"/>
    <w:rsid w:val="00773789"/>
    <w:rsid w:val="00773985"/>
    <w:rsid w:val="007747AB"/>
    <w:rsid w:val="007759B4"/>
    <w:rsid w:val="00781502"/>
    <w:rsid w:val="007820D1"/>
    <w:rsid w:val="007851B4"/>
    <w:rsid w:val="00791FC1"/>
    <w:rsid w:val="00795228"/>
    <w:rsid w:val="007A1D46"/>
    <w:rsid w:val="007A66AF"/>
    <w:rsid w:val="007A69C9"/>
    <w:rsid w:val="007B010F"/>
    <w:rsid w:val="007B1BD8"/>
    <w:rsid w:val="007B2861"/>
    <w:rsid w:val="007B79A1"/>
    <w:rsid w:val="007C171B"/>
    <w:rsid w:val="007C4994"/>
    <w:rsid w:val="007C4A65"/>
    <w:rsid w:val="007C5670"/>
    <w:rsid w:val="007C7948"/>
    <w:rsid w:val="007D040C"/>
    <w:rsid w:val="007D0677"/>
    <w:rsid w:val="007D2A08"/>
    <w:rsid w:val="007D579E"/>
    <w:rsid w:val="007E10E9"/>
    <w:rsid w:val="007E5EC6"/>
    <w:rsid w:val="007F0C11"/>
    <w:rsid w:val="007F3843"/>
    <w:rsid w:val="007F51B6"/>
    <w:rsid w:val="007F5A51"/>
    <w:rsid w:val="007F5D4C"/>
    <w:rsid w:val="007F71FD"/>
    <w:rsid w:val="007F7203"/>
    <w:rsid w:val="007F7F66"/>
    <w:rsid w:val="008029C0"/>
    <w:rsid w:val="00803468"/>
    <w:rsid w:val="008035AB"/>
    <w:rsid w:val="00804988"/>
    <w:rsid w:val="008065D2"/>
    <w:rsid w:val="00807FBA"/>
    <w:rsid w:val="008101E9"/>
    <w:rsid w:val="00812431"/>
    <w:rsid w:val="00813F65"/>
    <w:rsid w:val="008146A2"/>
    <w:rsid w:val="00814A87"/>
    <w:rsid w:val="00814C75"/>
    <w:rsid w:val="008165B7"/>
    <w:rsid w:val="008207E4"/>
    <w:rsid w:val="00820A8A"/>
    <w:rsid w:val="008212E3"/>
    <w:rsid w:val="008300B9"/>
    <w:rsid w:val="008355B1"/>
    <w:rsid w:val="00837851"/>
    <w:rsid w:val="00840B8D"/>
    <w:rsid w:val="00840D82"/>
    <w:rsid w:val="00843294"/>
    <w:rsid w:val="00844FB2"/>
    <w:rsid w:val="0084503C"/>
    <w:rsid w:val="008501BE"/>
    <w:rsid w:val="00853FD0"/>
    <w:rsid w:val="008564AE"/>
    <w:rsid w:val="00856AAD"/>
    <w:rsid w:val="00861AD5"/>
    <w:rsid w:val="008628B0"/>
    <w:rsid w:val="00866E41"/>
    <w:rsid w:val="00867609"/>
    <w:rsid w:val="0087065B"/>
    <w:rsid w:val="00875B3E"/>
    <w:rsid w:val="008768E4"/>
    <w:rsid w:val="008778DB"/>
    <w:rsid w:val="00886663"/>
    <w:rsid w:val="00886FAB"/>
    <w:rsid w:val="0089034B"/>
    <w:rsid w:val="00890F2E"/>
    <w:rsid w:val="00892A07"/>
    <w:rsid w:val="00894B11"/>
    <w:rsid w:val="00896FD5"/>
    <w:rsid w:val="008977B2"/>
    <w:rsid w:val="00897E96"/>
    <w:rsid w:val="008A1693"/>
    <w:rsid w:val="008B75DF"/>
    <w:rsid w:val="008B7BBA"/>
    <w:rsid w:val="008C15E7"/>
    <w:rsid w:val="008C1B64"/>
    <w:rsid w:val="008C3D6C"/>
    <w:rsid w:val="008C67C1"/>
    <w:rsid w:val="008D04F7"/>
    <w:rsid w:val="008D1C3F"/>
    <w:rsid w:val="008D2731"/>
    <w:rsid w:val="008D2CE7"/>
    <w:rsid w:val="008D2F60"/>
    <w:rsid w:val="008D619A"/>
    <w:rsid w:val="008E3F7C"/>
    <w:rsid w:val="008F2538"/>
    <w:rsid w:val="008F4707"/>
    <w:rsid w:val="008F7001"/>
    <w:rsid w:val="008F79B3"/>
    <w:rsid w:val="00900D67"/>
    <w:rsid w:val="00903D5C"/>
    <w:rsid w:val="0090728B"/>
    <w:rsid w:val="009073EC"/>
    <w:rsid w:val="00907C1B"/>
    <w:rsid w:val="0091033E"/>
    <w:rsid w:val="00910E7D"/>
    <w:rsid w:val="00911B48"/>
    <w:rsid w:val="00912A9A"/>
    <w:rsid w:val="00915E24"/>
    <w:rsid w:val="009226D4"/>
    <w:rsid w:val="009258A6"/>
    <w:rsid w:val="009261E6"/>
    <w:rsid w:val="009269A5"/>
    <w:rsid w:val="009317D1"/>
    <w:rsid w:val="009330AB"/>
    <w:rsid w:val="009345FF"/>
    <w:rsid w:val="00936A9E"/>
    <w:rsid w:val="009404C2"/>
    <w:rsid w:val="00941EB7"/>
    <w:rsid w:val="00942FDE"/>
    <w:rsid w:val="0094316A"/>
    <w:rsid w:val="009433D2"/>
    <w:rsid w:val="00944258"/>
    <w:rsid w:val="00944E3A"/>
    <w:rsid w:val="0095124E"/>
    <w:rsid w:val="0095205E"/>
    <w:rsid w:val="00957625"/>
    <w:rsid w:val="00960068"/>
    <w:rsid w:val="00961D83"/>
    <w:rsid w:val="00962F69"/>
    <w:rsid w:val="00966A22"/>
    <w:rsid w:val="00966A48"/>
    <w:rsid w:val="00970FA3"/>
    <w:rsid w:val="009725E0"/>
    <w:rsid w:val="00972FBD"/>
    <w:rsid w:val="00975486"/>
    <w:rsid w:val="009759B6"/>
    <w:rsid w:val="00976AD6"/>
    <w:rsid w:val="00980256"/>
    <w:rsid w:val="0098123F"/>
    <w:rsid w:val="00982860"/>
    <w:rsid w:val="00983C09"/>
    <w:rsid w:val="00984BC7"/>
    <w:rsid w:val="00985DDB"/>
    <w:rsid w:val="009866C4"/>
    <w:rsid w:val="009902A7"/>
    <w:rsid w:val="00990673"/>
    <w:rsid w:val="009958F3"/>
    <w:rsid w:val="00995C5E"/>
    <w:rsid w:val="00997322"/>
    <w:rsid w:val="00997693"/>
    <w:rsid w:val="009A09AF"/>
    <w:rsid w:val="009A1973"/>
    <w:rsid w:val="009A1F7F"/>
    <w:rsid w:val="009A2397"/>
    <w:rsid w:val="009A48E7"/>
    <w:rsid w:val="009A4AD1"/>
    <w:rsid w:val="009A5F48"/>
    <w:rsid w:val="009A7A91"/>
    <w:rsid w:val="009A7B10"/>
    <w:rsid w:val="009B22A6"/>
    <w:rsid w:val="009B4BB5"/>
    <w:rsid w:val="009B653F"/>
    <w:rsid w:val="009B6A5A"/>
    <w:rsid w:val="009C1666"/>
    <w:rsid w:val="009C2653"/>
    <w:rsid w:val="009C4277"/>
    <w:rsid w:val="009C4828"/>
    <w:rsid w:val="009C631F"/>
    <w:rsid w:val="009D1EE6"/>
    <w:rsid w:val="009D2504"/>
    <w:rsid w:val="009D279D"/>
    <w:rsid w:val="009D342C"/>
    <w:rsid w:val="009D3F73"/>
    <w:rsid w:val="009D75D7"/>
    <w:rsid w:val="009E386A"/>
    <w:rsid w:val="009E4DCC"/>
    <w:rsid w:val="009E6DB8"/>
    <w:rsid w:val="009F0251"/>
    <w:rsid w:val="009F0542"/>
    <w:rsid w:val="009F278C"/>
    <w:rsid w:val="009F40E6"/>
    <w:rsid w:val="009F543E"/>
    <w:rsid w:val="009F5739"/>
    <w:rsid w:val="009F6226"/>
    <w:rsid w:val="00A0097B"/>
    <w:rsid w:val="00A06289"/>
    <w:rsid w:val="00A109BF"/>
    <w:rsid w:val="00A11167"/>
    <w:rsid w:val="00A136FE"/>
    <w:rsid w:val="00A167D6"/>
    <w:rsid w:val="00A201DF"/>
    <w:rsid w:val="00A20253"/>
    <w:rsid w:val="00A2347B"/>
    <w:rsid w:val="00A2486E"/>
    <w:rsid w:val="00A251CC"/>
    <w:rsid w:val="00A25B25"/>
    <w:rsid w:val="00A32934"/>
    <w:rsid w:val="00A34843"/>
    <w:rsid w:val="00A34D74"/>
    <w:rsid w:val="00A3504F"/>
    <w:rsid w:val="00A36387"/>
    <w:rsid w:val="00A37656"/>
    <w:rsid w:val="00A42871"/>
    <w:rsid w:val="00A43D28"/>
    <w:rsid w:val="00A44541"/>
    <w:rsid w:val="00A50E7C"/>
    <w:rsid w:val="00A51D8F"/>
    <w:rsid w:val="00A52273"/>
    <w:rsid w:val="00A54D55"/>
    <w:rsid w:val="00A54DA6"/>
    <w:rsid w:val="00A55F2C"/>
    <w:rsid w:val="00A565F3"/>
    <w:rsid w:val="00A56785"/>
    <w:rsid w:val="00A5738C"/>
    <w:rsid w:val="00A60E05"/>
    <w:rsid w:val="00A60FA4"/>
    <w:rsid w:val="00A612B0"/>
    <w:rsid w:val="00A62930"/>
    <w:rsid w:val="00A665B1"/>
    <w:rsid w:val="00A70D91"/>
    <w:rsid w:val="00A720FD"/>
    <w:rsid w:val="00A7233A"/>
    <w:rsid w:val="00A74209"/>
    <w:rsid w:val="00A76A25"/>
    <w:rsid w:val="00A76E06"/>
    <w:rsid w:val="00A76F2E"/>
    <w:rsid w:val="00A76FB7"/>
    <w:rsid w:val="00A77BDB"/>
    <w:rsid w:val="00A803E1"/>
    <w:rsid w:val="00A81930"/>
    <w:rsid w:val="00A81CCF"/>
    <w:rsid w:val="00A81F86"/>
    <w:rsid w:val="00A81F8E"/>
    <w:rsid w:val="00A81FD8"/>
    <w:rsid w:val="00A84246"/>
    <w:rsid w:val="00A84BBC"/>
    <w:rsid w:val="00A8573B"/>
    <w:rsid w:val="00A85A22"/>
    <w:rsid w:val="00A86225"/>
    <w:rsid w:val="00A86FCA"/>
    <w:rsid w:val="00A91E03"/>
    <w:rsid w:val="00A92209"/>
    <w:rsid w:val="00A94568"/>
    <w:rsid w:val="00A958EF"/>
    <w:rsid w:val="00A96D64"/>
    <w:rsid w:val="00A97AB2"/>
    <w:rsid w:val="00AA3DCD"/>
    <w:rsid w:val="00AA464E"/>
    <w:rsid w:val="00AA73C4"/>
    <w:rsid w:val="00AB2666"/>
    <w:rsid w:val="00AB4212"/>
    <w:rsid w:val="00AB43F4"/>
    <w:rsid w:val="00AB62EA"/>
    <w:rsid w:val="00AC026B"/>
    <w:rsid w:val="00AC1FCB"/>
    <w:rsid w:val="00AD169D"/>
    <w:rsid w:val="00AD518A"/>
    <w:rsid w:val="00AD7755"/>
    <w:rsid w:val="00AD7DA0"/>
    <w:rsid w:val="00AE209E"/>
    <w:rsid w:val="00AE5A61"/>
    <w:rsid w:val="00AE5C26"/>
    <w:rsid w:val="00AE6F17"/>
    <w:rsid w:val="00AF0263"/>
    <w:rsid w:val="00AF21C1"/>
    <w:rsid w:val="00AF44FA"/>
    <w:rsid w:val="00AF5E11"/>
    <w:rsid w:val="00AF5F8F"/>
    <w:rsid w:val="00AF795F"/>
    <w:rsid w:val="00B021E9"/>
    <w:rsid w:val="00B02371"/>
    <w:rsid w:val="00B0267B"/>
    <w:rsid w:val="00B05BFD"/>
    <w:rsid w:val="00B0621E"/>
    <w:rsid w:val="00B133C5"/>
    <w:rsid w:val="00B14BE3"/>
    <w:rsid w:val="00B14C8D"/>
    <w:rsid w:val="00B16D08"/>
    <w:rsid w:val="00B20D46"/>
    <w:rsid w:val="00B217C1"/>
    <w:rsid w:val="00B25C6F"/>
    <w:rsid w:val="00B265C0"/>
    <w:rsid w:val="00B33468"/>
    <w:rsid w:val="00B33E4F"/>
    <w:rsid w:val="00B37FF8"/>
    <w:rsid w:val="00B41D3B"/>
    <w:rsid w:val="00B426DE"/>
    <w:rsid w:val="00B42CBC"/>
    <w:rsid w:val="00B439F2"/>
    <w:rsid w:val="00B4477C"/>
    <w:rsid w:val="00B45334"/>
    <w:rsid w:val="00B45AE0"/>
    <w:rsid w:val="00B46A88"/>
    <w:rsid w:val="00B47624"/>
    <w:rsid w:val="00B52C59"/>
    <w:rsid w:val="00B54BBA"/>
    <w:rsid w:val="00B56678"/>
    <w:rsid w:val="00B60482"/>
    <w:rsid w:val="00B72A6A"/>
    <w:rsid w:val="00B73354"/>
    <w:rsid w:val="00B742D4"/>
    <w:rsid w:val="00B75C06"/>
    <w:rsid w:val="00B778FF"/>
    <w:rsid w:val="00B8029A"/>
    <w:rsid w:val="00B81630"/>
    <w:rsid w:val="00B83694"/>
    <w:rsid w:val="00B84259"/>
    <w:rsid w:val="00B85793"/>
    <w:rsid w:val="00B85F98"/>
    <w:rsid w:val="00B905B2"/>
    <w:rsid w:val="00B90797"/>
    <w:rsid w:val="00B95506"/>
    <w:rsid w:val="00B95F53"/>
    <w:rsid w:val="00BA0B2D"/>
    <w:rsid w:val="00BA4CB5"/>
    <w:rsid w:val="00BA4F58"/>
    <w:rsid w:val="00BB08D8"/>
    <w:rsid w:val="00BB160F"/>
    <w:rsid w:val="00BB265B"/>
    <w:rsid w:val="00BB2AEF"/>
    <w:rsid w:val="00BB4115"/>
    <w:rsid w:val="00BB4527"/>
    <w:rsid w:val="00BB4FA9"/>
    <w:rsid w:val="00BC0F46"/>
    <w:rsid w:val="00BC216C"/>
    <w:rsid w:val="00BC36D9"/>
    <w:rsid w:val="00BC61F4"/>
    <w:rsid w:val="00BC6691"/>
    <w:rsid w:val="00BC7159"/>
    <w:rsid w:val="00BC76C7"/>
    <w:rsid w:val="00BC7929"/>
    <w:rsid w:val="00BC7F3E"/>
    <w:rsid w:val="00BD1220"/>
    <w:rsid w:val="00BD25B5"/>
    <w:rsid w:val="00BD3471"/>
    <w:rsid w:val="00BD41AB"/>
    <w:rsid w:val="00BD5346"/>
    <w:rsid w:val="00BD773F"/>
    <w:rsid w:val="00BE0E04"/>
    <w:rsid w:val="00BE3485"/>
    <w:rsid w:val="00BE3C0E"/>
    <w:rsid w:val="00BE66DC"/>
    <w:rsid w:val="00BE6A8D"/>
    <w:rsid w:val="00BE7290"/>
    <w:rsid w:val="00BF0F07"/>
    <w:rsid w:val="00BF1EEF"/>
    <w:rsid w:val="00C00CD5"/>
    <w:rsid w:val="00C023C7"/>
    <w:rsid w:val="00C02F82"/>
    <w:rsid w:val="00C04038"/>
    <w:rsid w:val="00C047F3"/>
    <w:rsid w:val="00C06CE7"/>
    <w:rsid w:val="00C10AF3"/>
    <w:rsid w:val="00C11648"/>
    <w:rsid w:val="00C1288C"/>
    <w:rsid w:val="00C13E61"/>
    <w:rsid w:val="00C14B60"/>
    <w:rsid w:val="00C15668"/>
    <w:rsid w:val="00C15E4F"/>
    <w:rsid w:val="00C15F35"/>
    <w:rsid w:val="00C2042C"/>
    <w:rsid w:val="00C208AC"/>
    <w:rsid w:val="00C20E2E"/>
    <w:rsid w:val="00C23564"/>
    <w:rsid w:val="00C23D63"/>
    <w:rsid w:val="00C24285"/>
    <w:rsid w:val="00C244E5"/>
    <w:rsid w:val="00C24F04"/>
    <w:rsid w:val="00C24FD5"/>
    <w:rsid w:val="00C2645A"/>
    <w:rsid w:val="00C31966"/>
    <w:rsid w:val="00C320FF"/>
    <w:rsid w:val="00C32A5B"/>
    <w:rsid w:val="00C35651"/>
    <w:rsid w:val="00C36DC3"/>
    <w:rsid w:val="00C42A54"/>
    <w:rsid w:val="00C44B41"/>
    <w:rsid w:val="00C4611B"/>
    <w:rsid w:val="00C50115"/>
    <w:rsid w:val="00C529E5"/>
    <w:rsid w:val="00C53BEF"/>
    <w:rsid w:val="00C53DC7"/>
    <w:rsid w:val="00C55681"/>
    <w:rsid w:val="00C56C5A"/>
    <w:rsid w:val="00C57312"/>
    <w:rsid w:val="00C60C0D"/>
    <w:rsid w:val="00C61330"/>
    <w:rsid w:val="00C63AAF"/>
    <w:rsid w:val="00C63F01"/>
    <w:rsid w:val="00C656DF"/>
    <w:rsid w:val="00C66979"/>
    <w:rsid w:val="00C6779F"/>
    <w:rsid w:val="00C716B4"/>
    <w:rsid w:val="00C72FD8"/>
    <w:rsid w:val="00C73D62"/>
    <w:rsid w:val="00C74C93"/>
    <w:rsid w:val="00C761AD"/>
    <w:rsid w:val="00C8095A"/>
    <w:rsid w:val="00C81BCB"/>
    <w:rsid w:val="00C8423B"/>
    <w:rsid w:val="00C843A2"/>
    <w:rsid w:val="00C862A2"/>
    <w:rsid w:val="00C86774"/>
    <w:rsid w:val="00C86917"/>
    <w:rsid w:val="00C86A00"/>
    <w:rsid w:val="00C91528"/>
    <w:rsid w:val="00C942FE"/>
    <w:rsid w:val="00CA66E5"/>
    <w:rsid w:val="00CB2722"/>
    <w:rsid w:val="00CB2BB7"/>
    <w:rsid w:val="00CB3C69"/>
    <w:rsid w:val="00CB6DA6"/>
    <w:rsid w:val="00CC0330"/>
    <w:rsid w:val="00CC03D9"/>
    <w:rsid w:val="00CC474D"/>
    <w:rsid w:val="00CC4DF3"/>
    <w:rsid w:val="00CC68D7"/>
    <w:rsid w:val="00CC78AC"/>
    <w:rsid w:val="00CD010C"/>
    <w:rsid w:val="00CD19E6"/>
    <w:rsid w:val="00CD1BD1"/>
    <w:rsid w:val="00CD1EA9"/>
    <w:rsid w:val="00CD3BA2"/>
    <w:rsid w:val="00CD6EC3"/>
    <w:rsid w:val="00CD7961"/>
    <w:rsid w:val="00CE0EB7"/>
    <w:rsid w:val="00CE2E13"/>
    <w:rsid w:val="00CE31C0"/>
    <w:rsid w:val="00CF4028"/>
    <w:rsid w:val="00CF723D"/>
    <w:rsid w:val="00CF7F4A"/>
    <w:rsid w:val="00D00A07"/>
    <w:rsid w:val="00D0535E"/>
    <w:rsid w:val="00D05DD1"/>
    <w:rsid w:val="00D10703"/>
    <w:rsid w:val="00D118F1"/>
    <w:rsid w:val="00D1381D"/>
    <w:rsid w:val="00D1525C"/>
    <w:rsid w:val="00D1660B"/>
    <w:rsid w:val="00D2000A"/>
    <w:rsid w:val="00D22915"/>
    <w:rsid w:val="00D2463A"/>
    <w:rsid w:val="00D27114"/>
    <w:rsid w:val="00D27BF6"/>
    <w:rsid w:val="00D30AA4"/>
    <w:rsid w:val="00D31559"/>
    <w:rsid w:val="00D3180B"/>
    <w:rsid w:val="00D33081"/>
    <w:rsid w:val="00D3331F"/>
    <w:rsid w:val="00D3364B"/>
    <w:rsid w:val="00D3541E"/>
    <w:rsid w:val="00D43E7D"/>
    <w:rsid w:val="00D46E9A"/>
    <w:rsid w:val="00D47FBA"/>
    <w:rsid w:val="00D509E5"/>
    <w:rsid w:val="00D530B8"/>
    <w:rsid w:val="00D54E2E"/>
    <w:rsid w:val="00D62B7E"/>
    <w:rsid w:val="00D632FF"/>
    <w:rsid w:val="00D64646"/>
    <w:rsid w:val="00D64D08"/>
    <w:rsid w:val="00D65403"/>
    <w:rsid w:val="00D77B91"/>
    <w:rsid w:val="00D821DD"/>
    <w:rsid w:val="00D857FB"/>
    <w:rsid w:val="00D86CCE"/>
    <w:rsid w:val="00D9558F"/>
    <w:rsid w:val="00DA1B6A"/>
    <w:rsid w:val="00DA6336"/>
    <w:rsid w:val="00DA7D97"/>
    <w:rsid w:val="00DB3163"/>
    <w:rsid w:val="00DB34B1"/>
    <w:rsid w:val="00DB475D"/>
    <w:rsid w:val="00DB4C51"/>
    <w:rsid w:val="00DB6491"/>
    <w:rsid w:val="00DB674A"/>
    <w:rsid w:val="00DC4111"/>
    <w:rsid w:val="00DC4232"/>
    <w:rsid w:val="00DC5A95"/>
    <w:rsid w:val="00DC5D3C"/>
    <w:rsid w:val="00DC71B3"/>
    <w:rsid w:val="00DC7FD2"/>
    <w:rsid w:val="00DD27B1"/>
    <w:rsid w:val="00DD3BA5"/>
    <w:rsid w:val="00DD59B7"/>
    <w:rsid w:val="00DD5B14"/>
    <w:rsid w:val="00DD6170"/>
    <w:rsid w:val="00DD6C97"/>
    <w:rsid w:val="00DD6EF1"/>
    <w:rsid w:val="00DE12B4"/>
    <w:rsid w:val="00DE140C"/>
    <w:rsid w:val="00DE45D3"/>
    <w:rsid w:val="00DE48A2"/>
    <w:rsid w:val="00DE74F5"/>
    <w:rsid w:val="00DF0147"/>
    <w:rsid w:val="00DF081E"/>
    <w:rsid w:val="00DF09B7"/>
    <w:rsid w:val="00DF15C7"/>
    <w:rsid w:val="00DF1ABD"/>
    <w:rsid w:val="00DF297E"/>
    <w:rsid w:val="00DF35B2"/>
    <w:rsid w:val="00E02012"/>
    <w:rsid w:val="00E047F0"/>
    <w:rsid w:val="00E06937"/>
    <w:rsid w:val="00E07D34"/>
    <w:rsid w:val="00E121DD"/>
    <w:rsid w:val="00E12D5F"/>
    <w:rsid w:val="00E13131"/>
    <w:rsid w:val="00E14948"/>
    <w:rsid w:val="00E15246"/>
    <w:rsid w:val="00E208AA"/>
    <w:rsid w:val="00E21BE5"/>
    <w:rsid w:val="00E21DCE"/>
    <w:rsid w:val="00E21E8A"/>
    <w:rsid w:val="00E23955"/>
    <w:rsid w:val="00E24285"/>
    <w:rsid w:val="00E242F6"/>
    <w:rsid w:val="00E24B59"/>
    <w:rsid w:val="00E25AE3"/>
    <w:rsid w:val="00E27066"/>
    <w:rsid w:val="00E31F33"/>
    <w:rsid w:val="00E3261B"/>
    <w:rsid w:val="00E32F44"/>
    <w:rsid w:val="00E33ECA"/>
    <w:rsid w:val="00E33FC5"/>
    <w:rsid w:val="00E358D6"/>
    <w:rsid w:val="00E35B6D"/>
    <w:rsid w:val="00E37CCC"/>
    <w:rsid w:val="00E415DA"/>
    <w:rsid w:val="00E539E6"/>
    <w:rsid w:val="00E54A6A"/>
    <w:rsid w:val="00E54F16"/>
    <w:rsid w:val="00E61A70"/>
    <w:rsid w:val="00E65F9F"/>
    <w:rsid w:val="00E709DB"/>
    <w:rsid w:val="00E70A32"/>
    <w:rsid w:val="00E7117C"/>
    <w:rsid w:val="00E747BC"/>
    <w:rsid w:val="00E75316"/>
    <w:rsid w:val="00E75B3D"/>
    <w:rsid w:val="00E7707C"/>
    <w:rsid w:val="00E81F78"/>
    <w:rsid w:val="00E82747"/>
    <w:rsid w:val="00E82805"/>
    <w:rsid w:val="00E844CD"/>
    <w:rsid w:val="00E849E0"/>
    <w:rsid w:val="00E84EAB"/>
    <w:rsid w:val="00E85273"/>
    <w:rsid w:val="00E857EA"/>
    <w:rsid w:val="00E85963"/>
    <w:rsid w:val="00E93CA1"/>
    <w:rsid w:val="00E943DE"/>
    <w:rsid w:val="00E952AB"/>
    <w:rsid w:val="00E968B2"/>
    <w:rsid w:val="00EA0232"/>
    <w:rsid w:val="00EA0258"/>
    <w:rsid w:val="00EA0F72"/>
    <w:rsid w:val="00EB1BF4"/>
    <w:rsid w:val="00EB2A56"/>
    <w:rsid w:val="00EB3790"/>
    <w:rsid w:val="00EB47B6"/>
    <w:rsid w:val="00EC25A1"/>
    <w:rsid w:val="00EC298E"/>
    <w:rsid w:val="00EC3DD6"/>
    <w:rsid w:val="00EC4E86"/>
    <w:rsid w:val="00EC65DA"/>
    <w:rsid w:val="00EC6EB4"/>
    <w:rsid w:val="00EC6F9D"/>
    <w:rsid w:val="00EC7813"/>
    <w:rsid w:val="00ED2AE7"/>
    <w:rsid w:val="00ED38E4"/>
    <w:rsid w:val="00ED39E9"/>
    <w:rsid w:val="00ED3C8C"/>
    <w:rsid w:val="00ED648A"/>
    <w:rsid w:val="00EE1DFB"/>
    <w:rsid w:val="00EE279B"/>
    <w:rsid w:val="00EE3B1B"/>
    <w:rsid w:val="00EE5AE9"/>
    <w:rsid w:val="00EF00EA"/>
    <w:rsid w:val="00EF62D0"/>
    <w:rsid w:val="00F0077F"/>
    <w:rsid w:val="00F00A4A"/>
    <w:rsid w:val="00F01822"/>
    <w:rsid w:val="00F043DA"/>
    <w:rsid w:val="00F04C74"/>
    <w:rsid w:val="00F06866"/>
    <w:rsid w:val="00F11786"/>
    <w:rsid w:val="00F13033"/>
    <w:rsid w:val="00F15025"/>
    <w:rsid w:val="00F25FFA"/>
    <w:rsid w:val="00F26AF4"/>
    <w:rsid w:val="00F279FA"/>
    <w:rsid w:val="00F30CF2"/>
    <w:rsid w:val="00F30F4C"/>
    <w:rsid w:val="00F333D9"/>
    <w:rsid w:val="00F3496F"/>
    <w:rsid w:val="00F3665E"/>
    <w:rsid w:val="00F36861"/>
    <w:rsid w:val="00F4001E"/>
    <w:rsid w:val="00F40604"/>
    <w:rsid w:val="00F40EFB"/>
    <w:rsid w:val="00F43796"/>
    <w:rsid w:val="00F44056"/>
    <w:rsid w:val="00F44D2C"/>
    <w:rsid w:val="00F510C7"/>
    <w:rsid w:val="00F51885"/>
    <w:rsid w:val="00F528A0"/>
    <w:rsid w:val="00F53641"/>
    <w:rsid w:val="00F5452A"/>
    <w:rsid w:val="00F54E59"/>
    <w:rsid w:val="00F5513B"/>
    <w:rsid w:val="00F55D61"/>
    <w:rsid w:val="00F563B6"/>
    <w:rsid w:val="00F578F2"/>
    <w:rsid w:val="00F61B33"/>
    <w:rsid w:val="00F631A6"/>
    <w:rsid w:val="00F645ED"/>
    <w:rsid w:val="00F6589C"/>
    <w:rsid w:val="00F65AB0"/>
    <w:rsid w:val="00F67023"/>
    <w:rsid w:val="00F673BF"/>
    <w:rsid w:val="00F71E01"/>
    <w:rsid w:val="00F7294C"/>
    <w:rsid w:val="00F73846"/>
    <w:rsid w:val="00F74350"/>
    <w:rsid w:val="00F7734E"/>
    <w:rsid w:val="00F80C7A"/>
    <w:rsid w:val="00F82578"/>
    <w:rsid w:val="00F85239"/>
    <w:rsid w:val="00F865AA"/>
    <w:rsid w:val="00F873A5"/>
    <w:rsid w:val="00F9005F"/>
    <w:rsid w:val="00F915A1"/>
    <w:rsid w:val="00F916D3"/>
    <w:rsid w:val="00F91980"/>
    <w:rsid w:val="00F95301"/>
    <w:rsid w:val="00F95936"/>
    <w:rsid w:val="00FA059F"/>
    <w:rsid w:val="00FA0E0D"/>
    <w:rsid w:val="00FA1982"/>
    <w:rsid w:val="00FA40B8"/>
    <w:rsid w:val="00FA4739"/>
    <w:rsid w:val="00FA6C7D"/>
    <w:rsid w:val="00FB1A92"/>
    <w:rsid w:val="00FB3193"/>
    <w:rsid w:val="00FB5C64"/>
    <w:rsid w:val="00FB7B11"/>
    <w:rsid w:val="00FC046F"/>
    <w:rsid w:val="00FC0673"/>
    <w:rsid w:val="00FC080B"/>
    <w:rsid w:val="00FC08DC"/>
    <w:rsid w:val="00FC1462"/>
    <w:rsid w:val="00FC1EC2"/>
    <w:rsid w:val="00FC74A9"/>
    <w:rsid w:val="00FD1F6C"/>
    <w:rsid w:val="00FD3A3C"/>
    <w:rsid w:val="00FD4C1A"/>
    <w:rsid w:val="00FD5AAF"/>
    <w:rsid w:val="00FD7C4E"/>
    <w:rsid w:val="00FD7F39"/>
    <w:rsid w:val="00FE0FF3"/>
    <w:rsid w:val="00FE19F9"/>
    <w:rsid w:val="00FF007C"/>
    <w:rsid w:val="00FF16C3"/>
    <w:rsid w:val="00FF1F0B"/>
    <w:rsid w:val="00FF2435"/>
    <w:rsid w:val="00FF5A09"/>
    <w:rsid w:val="00FF65C9"/>
    <w:rsid w:val="00FF7F3C"/>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C46E0"/>
  <w15:chartTrackingRefBased/>
  <w15:docId w15:val="{111B51F9-B52C-8649-AA65-FE48BFF1A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Bodoni 72" w:hAnsi="Bodoni 72" w:cs="Times New Roman (Body CS)" w:eastAsiaTheme="minorEastAsia"/>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146A2"/>
    <w:pPr>
      <w:keepNext/>
      <w:keepLines/>
      <w:spacing w:before="360" w:after="80"/>
      <w:outlineLvl w:val="0"/>
    </w:pPr>
    <w:rPr>
      <w:rFonts w:ascii="Times New Roman" w:hAnsi="Times New Roman" w:cs="Times New Roman" w:eastAsiaTheme="majorEastAsia"/>
      <w:color w:val="000000" w:themeColor="text1"/>
      <w:sz w:val="32"/>
      <w:szCs w:val="32"/>
    </w:rPr>
  </w:style>
  <w:style w:type="paragraph" w:styleId="Heading2">
    <w:name w:val="heading 2"/>
    <w:basedOn w:val="Normal"/>
    <w:next w:val="Normal"/>
    <w:link w:val="Heading2Char"/>
    <w:uiPriority w:val="9"/>
    <w:unhideWhenUsed/>
    <w:qFormat/>
    <w:rsid w:val="00892A0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A07"/>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A07"/>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A07"/>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A07"/>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A07"/>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A07"/>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A07"/>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146A2"/>
    <w:rPr>
      <w:rFonts w:ascii="Times New Roman" w:hAnsi="Times New Roman" w:cs="Times New Roman" w:eastAsiaTheme="majorEastAsia"/>
      <w:color w:val="000000" w:themeColor="text1"/>
      <w:sz w:val="32"/>
      <w:szCs w:val="32"/>
    </w:rPr>
  </w:style>
  <w:style w:type="character" w:styleId="Heading2Char" w:customStyle="1">
    <w:name w:val="Heading 2 Char"/>
    <w:basedOn w:val="DefaultParagraphFont"/>
    <w:link w:val="Heading2"/>
    <w:uiPriority w:val="9"/>
    <w:rsid w:val="00892A0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92A07"/>
    <w:rPr>
      <w:rFonts w:asciiTheme="minorHAnsi" w:hAnsiTheme="min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92A07"/>
    <w:rPr>
      <w:rFonts w:asciiTheme="minorHAnsi" w:hAnsiTheme="minorHAnsi"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92A07"/>
    <w:rPr>
      <w:rFonts w:asciiTheme="minorHAnsi" w:hAnsiTheme="minorHAnsi"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92A07"/>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92A07"/>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92A07"/>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92A07"/>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892A0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92A0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92A07"/>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92A07"/>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A07"/>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92A07"/>
    <w:rPr>
      <w:i/>
      <w:iCs/>
      <w:color w:val="404040" w:themeColor="text1" w:themeTint="BF"/>
    </w:rPr>
  </w:style>
  <w:style w:type="paragraph" w:styleId="ListParagraph">
    <w:name w:val="List Paragraph"/>
    <w:basedOn w:val="Normal"/>
    <w:uiPriority w:val="34"/>
    <w:qFormat/>
    <w:rsid w:val="00892A07"/>
    <w:pPr>
      <w:ind w:left="720"/>
      <w:contextualSpacing/>
    </w:pPr>
  </w:style>
  <w:style w:type="character" w:styleId="IntenseEmphasis">
    <w:name w:val="Intense Emphasis"/>
    <w:basedOn w:val="DefaultParagraphFont"/>
    <w:uiPriority w:val="21"/>
    <w:qFormat/>
    <w:rsid w:val="00892A07"/>
    <w:rPr>
      <w:i/>
      <w:iCs/>
      <w:color w:val="0F4761" w:themeColor="accent1" w:themeShade="BF"/>
    </w:rPr>
  </w:style>
  <w:style w:type="paragraph" w:styleId="IntenseQuote">
    <w:name w:val="Intense Quote"/>
    <w:basedOn w:val="Normal"/>
    <w:next w:val="Normal"/>
    <w:link w:val="IntenseQuoteChar"/>
    <w:uiPriority w:val="30"/>
    <w:qFormat/>
    <w:rsid w:val="00892A0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92A07"/>
    <w:rPr>
      <w:i/>
      <w:iCs/>
      <w:color w:val="0F4761" w:themeColor="accent1" w:themeShade="BF"/>
    </w:rPr>
  </w:style>
  <w:style w:type="character" w:styleId="IntenseReference">
    <w:name w:val="Intense Reference"/>
    <w:basedOn w:val="DefaultParagraphFont"/>
    <w:uiPriority w:val="32"/>
    <w:qFormat/>
    <w:rsid w:val="00892A07"/>
    <w:rPr>
      <w:b/>
      <w:bCs/>
      <w:smallCaps/>
      <w:color w:val="0F4761" w:themeColor="accent1" w:themeShade="BF"/>
      <w:spacing w:val="5"/>
    </w:rPr>
  </w:style>
  <w:style w:type="character" w:styleId="Hyperlink">
    <w:name w:val="Hyperlink"/>
    <w:basedOn w:val="DefaultParagraphFont"/>
    <w:uiPriority w:val="99"/>
    <w:unhideWhenUsed/>
    <w:rsid w:val="008355B1"/>
    <w:rPr>
      <w:color w:val="467886" w:themeColor="hyperlink"/>
      <w:u w:val="single"/>
    </w:rPr>
  </w:style>
  <w:style w:type="character" w:styleId="UnresolvedMention">
    <w:name w:val="Unresolved Mention"/>
    <w:basedOn w:val="DefaultParagraphFont"/>
    <w:uiPriority w:val="99"/>
    <w:semiHidden/>
    <w:unhideWhenUsed/>
    <w:rsid w:val="008355B1"/>
    <w:rPr>
      <w:color w:val="605E5C"/>
      <w:shd w:val="clear" w:color="auto" w:fill="E1DFDD"/>
    </w:rPr>
  </w:style>
  <w:style w:type="paragraph" w:styleId="p1" w:customStyle="1">
    <w:name w:val="p1"/>
    <w:basedOn w:val="Normal"/>
    <w:rsid w:val="00843294"/>
    <w:rPr>
      <w:rFonts w:ascii="Helvetica" w:hAnsi="Helvetica" w:eastAsia="Times New Roman" w:cs="Times New Roman"/>
      <w:color w:val="000000"/>
      <w:kern w:val="0"/>
      <w:sz w:val="18"/>
      <w:szCs w:val="18"/>
      <w14:ligatures w14:val="none"/>
    </w:rPr>
  </w:style>
  <w:style w:type="paragraph" w:styleId="p2" w:customStyle="1">
    <w:name w:val="p2"/>
    <w:basedOn w:val="Normal"/>
    <w:rsid w:val="00843294"/>
    <w:rPr>
      <w:rFonts w:ascii="Helvetica" w:hAnsi="Helvetica" w:eastAsia="Times New Roman" w:cs="Times New Roman"/>
      <w:color w:val="535353"/>
      <w:kern w:val="0"/>
      <w:sz w:val="15"/>
      <w:szCs w:val="15"/>
      <w14:ligatures w14:val="none"/>
    </w:rPr>
  </w:style>
  <w:style w:type="paragraph" w:styleId="p3" w:customStyle="1">
    <w:name w:val="p3"/>
    <w:basedOn w:val="Normal"/>
    <w:rsid w:val="00843294"/>
    <w:rPr>
      <w:rFonts w:ascii="Helvetica" w:hAnsi="Helvetica" w:eastAsia="Times New Roman" w:cs="Times New Roman"/>
      <w:color w:val="000000"/>
      <w:kern w:val="0"/>
      <w:sz w:val="15"/>
      <w:szCs w:val="15"/>
      <w14:ligatures w14:val="none"/>
    </w:rPr>
  </w:style>
  <w:style w:type="character" w:styleId="s1" w:customStyle="1">
    <w:name w:val="s1"/>
    <w:basedOn w:val="DefaultParagraphFont"/>
    <w:rsid w:val="00843294"/>
    <w:rPr>
      <w:color w:val="000000"/>
    </w:rPr>
  </w:style>
  <w:style w:type="paragraph" w:styleId="Header">
    <w:name w:val="header"/>
    <w:basedOn w:val="Normal"/>
    <w:link w:val="HeaderChar"/>
    <w:uiPriority w:val="99"/>
    <w:unhideWhenUsed/>
    <w:rsid w:val="00843294"/>
    <w:pPr>
      <w:tabs>
        <w:tab w:val="center" w:pos="4680"/>
        <w:tab w:val="right" w:pos="9360"/>
      </w:tabs>
    </w:pPr>
  </w:style>
  <w:style w:type="character" w:styleId="HeaderChar" w:customStyle="1">
    <w:name w:val="Header Char"/>
    <w:basedOn w:val="DefaultParagraphFont"/>
    <w:link w:val="Header"/>
    <w:uiPriority w:val="99"/>
    <w:rsid w:val="00843294"/>
  </w:style>
  <w:style w:type="paragraph" w:styleId="Footer">
    <w:name w:val="footer"/>
    <w:basedOn w:val="Normal"/>
    <w:link w:val="FooterChar"/>
    <w:uiPriority w:val="99"/>
    <w:unhideWhenUsed/>
    <w:rsid w:val="00843294"/>
    <w:pPr>
      <w:tabs>
        <w:tab w:val="center" w:pos="4680"/>
        <w:tab w:val="right" w:pos="9360"/>
      </w:tabs>
    </w:pPr>
  </w:style>
  <w:style w:type="character" w:styleId="FooterChar" w:customStyle="1">
    <w:name w:val="Footer Char"/>
    <w:basedOn w:val="DefaultParagraphFont"/>
    <w:link w:val="Footer"/>
    <w:uiPriority w:val="99"/>
    <w:rsid w:val="00843294"/>
  </w:style>
  <w:style w:type="character" w:styleId="PageNumber">
    <w:name w:val="page number"/>
    <w:basedOn w:val="DefaultParagraphFont"/>
    <w:uiPriority w:val="99"/>
    <w:semiHidden/>
    <w:unhideWhenUsed/>
    <w:rsid w:val="00843294"/>
  </w:style>
  <w:style w:type="paragraph" w:styleId="Revision">
    <w:name w:val="Revision"/>
    <w:hidden/>
    <w:uiPriority w:val="99"/>
    <w:semiHidden/>
    <w:rsid w:val="004F672D"/>
  </w:style>
  <w:style w:type="character" w:styleId="CommentReference">
    <w:name w:val="annotation reference"/>
    <w:basedOn w:val="DefaultParagraphFont"/>
    <w:uiPriority w:val="99"/>
    <w:semiHidden/>
    <w:unhideWhenUsed/>
    <w:rsid w:val="000E5050"/>
    <w:rPr>
      <w:sz w:val="16"/>
      <w:szCs w:val="16"/>
    </w:rPr>
  </w:style>
  <w:style w:type="paragraph" w:styleId="CommentText">
    <w:name w:val="annotation text"/>
    <w:basedOn w:val="Normal"/>
    <w:link w:val="CommentTextChar"/>
    <w:uiPriority w:val="99"/>
    <w:unhideWhenUsed/>
    <w:rsid w:val="000E5050"/>
    <w:rPr>
      <w:sz w:val="20"/>
      <w:szCs w:val="20"/>
    </w:rPr>
  </w:style>
  <w:style w:type="character" w:styleId="CommentTextChar" w:customStyle="1">
    <w:name w:val="Comment Text Char"/>
    <w:basedOn w:val="DefaultParagraphFont"/>
    <w:link w:val="CommentText"/>
    <w:uiPriority w:val="99"/>
    <w:rsid w:val="000E5050"/>
    <w:rPr>
      <w:sz w:val="20"/>
      <w:szCs w:val="20"/>
    </w:rPr>
  </w:style>
  <w:style w:type="paragraph" w:styleId="CommentSubject">
    <w:name w:val="annotation subject"/>
    <w:basedOn w:val="CommentText"/>
    <w:next w:val="CommentText"/>
    <w:link w:val="CommentSubjectChar"/>
    <w:uiPriority w:val="99"/>
    <w:semiHidden/>
    <w:unhideWhenUsed/>
    <w:rsid w:val="000E5050"/>
    <w:rPr>
      <w:b/>
      <w:bCs/>
    </w:rPr>
  </w:style>
  <w:style w:type="character" w:styleId="CommentSubjectChar" w:customStyle="1">
    <w:name w:val="Comment Subject Char"/>
    <w:basedOn w:val="CommentTextChar"/>
    <w:link w:val="CommentSubject"/>
    <w:uiPriority w:val="99"/>
    <w:semiHidden/>
    <w:rsid w:val="000E5050"/>
    <w:rPr>
      <w:b/>
      <w:bCs/>
      <w:sz w:val="20"/>
      <w:szCs w:val="20"/>
    </w:rPr>
  </w:style>
  <w:style w:type="character" w:styleId="FollowedHyperlink">
    <w:name w:val="FollowedHyperlink"/>
    <w:basedOn w:val="DefaultParagraphFont"/>
    <w:uiPriority w:val="99"/>
    <w:semiHidden/>
    <w:unhideWhenUsed/>
    <w:rsid w:val="0022108B"/>
    <w:rPr>
      <w:color w:val="96607D" w:themeColor="followedHyperlink"/>
      <w:u w:val="single"/>
    </w:rPr>
  </w:style>
  <w:style w:type="paragraph" w:styleId="FootnoteText">
    <w:name w:val="footnote text"/>
    <w:basedOn w:val="Normal"/>
    <w:link w:val="FootnoteTextChar"/>
    <w:uiPriority w:val="99"/>
    <w:unhideWhenUsed/>
    <w:rsid w:val="00500853"/>
    <w:rPr>
      <w:sz w:val="20"/>
      <w:szCs w:val="20"/>
    </w:rPr>
  </w:style>
  <w:style w:type="character" w:styleId="FootnoteTextChar" w:customStyle="1">
    <w:name w:val="Footnote Text Char"/>
    <w:basedOn w:val="DefaultParagraphFont"/>
    <w:link w:val="FootnoteText"/>
    <w:uiPriority w:val="99"/>
    <w:rsid w:val="00500853"/>
    <w:rPr>
      <w:sz w:val="20"/>
      <w:szCs w:val="20"/>
    </w:rPr>
  </w:style>
  <w:style w:type="character" w:styleId="FootnoteReference">
    <w:name w:val="footnote reference"/>
    <w:basedOn w:val="DefaultParagraphFont"/>
    <w:uiPriority w:val="99"/>
    <w:semiHidden/>
    <w:unhideWhenUsed/>
    <w:rsid w:val="00500853"/>
    <w:rPr>
      <w:vertAlign w:val="superscript"/>
    </w:rPr>
  </w:style>
  <w:style w:type="character" w:styleId="Emphasis">
    <w:name w:val="Emphasis"/>
    <w:basedOn w:val="DefaultParagraphFont"/>
    <w:uiPriority w:val="20"/>
    <w:qFormat/>
    <w:rsid w:val="00F578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177/2053951715622512" TargetMode="External"/><Relationship Id="rId7" Type="http://schemas.openxmlformats.org/officeDocument/2006/relationships/hyperlink" Target="https://doi.org/10.1093/ct/qtaf022%20(16" TargetMode="External"/><Relationship Id="rId2" Type="http://schemas.openxmlformats.org/officeDocument/2006/relationships/hyperlink" Target="https://doi.org/10.1098/rsta.2023.0160?utm_source=chatgpt.com" TargetMode="External"/><Relationship Id="rId1" Type="http://schemas.openxmlformats.org/officeDocument/2006/relationships/hyperlink" Target="https://doi.org/10.1017/err.2023.37?utm_source=chatgpt.com" TargetMode="External"/><Relationship Id="rId6" Type="http://schemas.openxmlformats.org/officeDocument/2006/relationships/hyperlink" Target="https://doi.org/10.1609/aaai.v39i27.35083" TargetMode="External"/><Relationship Id="rId5" Type="http://schemas.openxmlformats.org/officeDocument/2006/relationships/hyperlink" Target="http://www.ctheory.net/articles.aspx?id=74" TargetMode="External"/><Relationship Id="rId4" Type="http://schemas.openxmlformats.org/officeDocument/2006/relationships/hyperlink" Target="http://www.ctheory.net/articles.aspx?id=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C88DE4F-47A8-5749-B560-19FF35B74148}">
  <we:reference id="wa104381727" version="1.0.1.0" store="en-US" storeType="OMEX"/>
  <we:alternateReferences>
    <we:reference id="WA104381727" version="1.0.1.0" store="" storeType="OMEX"/>
  </we:alternateReferences>
  <we:properties>
    <we:property name="documentId" value="&quot;76329be25af4292b&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7A15B63F-D2D8-3E49-B713-EA82E18B51BA}">
  <we:reference id="wa104380773" version="2.2.7.0" store="en-US" storeType="OMEX"/>
  <we:alternateReferences>
    <we:reference id="WA104380773" version="2.2.7.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5BDC4-3C35-194E-A686-276A22E0F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33</Pages>
  <Words>12808</Words>
  <Characters>73007</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Blockchain Regulatory Systems-Conceptual and Operational Challenges</vt:lpstr>
    </vt:vector>
  </TitlesOfParts>
  <Manager/>
  <Company/>
  <LinksUpToDate>false</LinksUpToDate>
  <CharactersWithSpaces>85644</CharactersWithSpaces>
  <SharedDoc>false</SharedDoc>
  <HyperlinkBase/>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Blockchain Regulatory Systems-Conceptual and Operational Challenges</dc:title>
  <dc:subject/>
  <dc:creator>Backer, Larry Cata; Rose, Daniil</dc:creator>
  <keywords>, docId:918D316ECAEE3FE7423B90665D833879</keywords>
  <dc:description/>
  <lastModifiedBy>Backer, Larry Cata</lastModifiedBy>
  <revision>23</revision>
  <lastPrinted>2025-09-27T08:15:00.0000000Z</lastPrinted>
  <dcterms:created xsi:type="dcterms:W3CDTF">2026-10-26T15:55:00.0000000Z</dcterms:created>
  <dcterms:modified xsi:type="dcterms:W3CDTF">2026-11-08T15:35:00.0000000Z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id="n7C7eueE"/&gt;&lt;style id="http://www.zotero.org/styles/bluebook-law-review" hasBibliography="0" bibliographyStyleHasBeenSet="0"/&gt;&lt;prefs&gt;&lt;pref name="fieldType" value="Field"/&gt;&lt;pref name="automaticJourn</vt:lpwstr>
  </property>
  <property fmtid="{D5CDD505-2E9C-101B-9397-08002B2CF9AE}" pid="3" name="ZOTERO_PREF_2">
    <vt:lpwstr>alAbbreviations" value="true"/&gt;&lt;pref name="noteType" value="1"/&gt;&lt;/prefs&gt;&lt;/data&gt;</vt:lpwstr>
  </property>
</Properties>
</file>