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rsidRPr="008146A2" w:rsidR="004F1627" w:rsidP="008146A2" w:rsidRDefault="00843294" w14:paraId="28A69DE4" w14:textId="3D262534">
      <w:pPr>
        <w:pStyle w:val="Heading1"/>
      </w:pPr>
      <w:r>
        <w:t xml:space="preserve">Sistemas regulatorios de blockchain: retos conceptuales y operativos</w:t>
      </w:r>
    </w:p>
    <w:p w:rsidR="00FF1F0B" w:rsidRDefault="00843294" w14:paraId="0C88CACD" w14:textId="229F5129">
      <w:pPr>
        <w:rPr>
          <w:rFonts w:ascii="Times New Roman" w:hAnsi="Times New Roman" w:cs="Times New Roman"/>
        </w:rPr>
      </w:pPr>
      <w:r>
        <w:rPr>
          <w:rFonts w:ascii="Times New Roman" w:hAnsi="Times New Roman" w:cs="Times New Roman"/>
        </w:rPr>
        <w:t xml:space="preserve">Larry Catá Backer</w:t>
      </w:r>
      <w:r>
        <w:rPr>
          <w:rStyle w:val="FootnoteReference"/>
          <w:rFonts w:ascii="Times New Roman" w:hAnsi="Times New Roman" w:cs="Times New Roman"/>
        </w:rPr>
        <w:footnoteReference w:id="1"/>
      </w:r>
      <w:r>
        <w:rPr>
          <w:rFonts w:ascii="Times New Roman" w:hAnsi="Times New Roman" w:cs="Times New Roman"/>
        </w:rPr>
        <w:t xml:space="preserve"> , Daniil Rose</w:t>
      </w:r>
      <w:r>
        <w:rPr>
          <w:rStyle w:val="FootnoteReference"/>
          <w:rFonts w:ascii="Times New Roman" w:hAnsi="Times New Roman" w:cs="Times New Roman"/>
        </w:rPr>
        <w:footnoteReference w:id="2"/>
      </w:r>
    </w:p>
    <w:p w:rsidR="009D2504" w:rsidRDefault="009D2504" w14:paraId="36348005" w14:textId="77777777">
      <w:pPr>
        <w:rPr>
          <w:rFonts w:ascii="Times New Roman" w:hAnsi="Times New Roman" w:cs="Times New Roman"/>
        </w:rPr>
      </w:pPr>
    </w:p>
    <w:p w:rsidR="00FC74A9" w:rsidP="004E3A22" w:rsidRDefault="00FC74A9" w14:paraId="47E1C704" w14:textId="633A071A">
      <w:pPr>
        <w:ind w:start="720"/>
        <w:rPr>
          <w:rFonts w:ascii="Times New Roman" w:hAnsi="Times New Roman" w:cs="Times New Roman"/>
        </w:rPr>
      </w:pPr>
      <w:r>
        <w:rPr>
          <w:rFonts w:ascii="Times New Roman" w:hAnsi="Times New Roman" w:cs="Times New Roman"/>
          <w:i/>
          <w:iCs/>
        </w:rPr>
        <w:t xml:space="preserve">Resumen: </w:t>
      </w:r>
      <w:r>
        <w:rPr>
          <w:rFonts w:ascii="Times New Roman" w:hAnsi="Times New Roman" w:cs="Times New Roman"/>
        </w:rPr>
        <w:t xml:space="preserve">Este artículo cuestiona una de las suposiciones más persistentes en el discurso contemporáneo sobre la cadena de bloques: la idea de que el código puede entenderse como una «regla» análoga a la ley. En cambio, a través de una serie </w:t>
      </w:r>
      <w:r w:rsidR="0010181C">
        <w:rPr>
          <w:rFonts w:ascii="Times New Roman" w:hAnsi="Times New Roman" w:cs="Times New Roman"/>
        </w:rPr>
        <w:t xml:space="preserve">de perspectivas</w:t>
      </w:r>
      <w:r>
        <w:rPr>
          <w:rFonts w:ascii="Times New Roman" w:hAnsi="Times New Roman" w:cs="Times New Roman"/>
        </w:rPr>
        <w:t xml:space="preserve"> analíticas interrelacionadas</w:t>
      </w:r>
      <w:r>
        <w:rPr>
          <w:rFonts w:ascii="Times New Roman" w:hAnsi="Times New Roman" w:cs="Times New Roman"/>
        </w:rPr>
        <w:t xml:space="preserve">,</w:t>
      </w:r>
      <w:r>
        <w:rPr>
          <w:rFonts w:ascii="Times New Roman" w:hAnsi="Times New Roman" w:cs="Times New Roman"/>
        </w:rPr>
        <w:t xml:space="preserve"> sostiene </w:t>
      </w:r>
      <w:r>
        <w:rPr>
          <w:rFonts w:ascii="Times New Roman" w:hAnsi="Times New Roman" w:cs="Times New Roman"/>
        </w:rPr>
        <w:t xml:space="preserve">que es mejor concebir el código como un sistema en capas, un entorno o una ecología de producción de reglas en la que el ser humano —y, de manera más general, la sistémica humana— es desplazado progresivamente, en lugar de simplemente ser obedecido o desafiado. Ese desplazamiento, sostiene el artículo, no ocurre de una sola vez ni en un solo lugar; ocurre de manera secuencial, a través de una pila que el artículo denomina la «Sacher-Torte» de la regulación de la cadena de bloques, en la que el significado legal desciende a través de las capas del compilador, el código de bytes, el código de operación y el consenso, con una legibilidad humana cada vez menor, perdiendo parte de su contenido semántico original en cada traducción, de modo que lo que queda a disposición de los reguladores humanos no es el dominio sobre las capas inferiores de la máquina, sino solo una serie de </w:t>
      </w:r>
      <w:r>
        <w:rPr>
          <w:rFonts w:ascii="Times New Roman" w:hAnsi="Times New Roman" w:cs="Times New Roman"/>
        </w:rPr>
        <w:t>puertas</w:t>
      </w:r>
      <w:r>
        <w:rPr>
          <w:rFonts w:ascii="Times New Roman" w:hAnsi="Times New Roman" w:cs="Times New Roman"/>
        </w:rPr>
        <w:t xml:space="preserve"> en las que pueden decidir, a posteriori y a menudo demasiado tarde, si admiten lo que el sistema ya ha producido. El artículo sitúa este argumento estructural dentro de un marco interpretativo más amplio tomado de debates recientes sobre la gobernanza de la inteligencia artificial, en los que toda explicación sobre el propósito y el orden adecuado de una tecnología determinada debe interpretarse, en sí misma, como una afirmación interesada y oracular planteada por una parte que tiene algo que ganar de la asignación particular de autoridad humana y de la máquina que dicha explicación implica; las propias narrativas regulatorias de la cadena de bloques, incluida la tesis </w:t>
      </w:r>
      <w:r>
        <w:rPr>
          <w:rFonts w:ascii="Times New Roman" w:hAnsi="Times New Roman" w:cs="Times New Roman"/>
        </w:rPr>
        <w:t>del gobierno</w:t>
      </w:r>
      <w:r>
        <w:rPr>
          <w:rFonts w:ascii="Times New Roman" w:hAnsi="Times New Roman" w:cs="Times New Roman"/>
        </w:rPr>
        <w:t xml:space="preserve"> del </w:t>
      </w:r>
      <w:r>
        <w:rPr>
          <w:rFonts w:ascii="Times New Roman" w:hAnsi="Times New Roman" w:cs="Times New Roman"/>
        </w:rPr>
        <w:t>código</w:t>
      </w:r>
      <w:r>
        <w:rPr>
          <w:rFonts w:ascii="Times New Roman" w:hAnsi="Times New Roman" w:cs="Times New Roman"/>
        </w:rPr>
        <w:t xml:space="preserve"> que este artículo cuestiona, no son la excepción. Amplía ese argumento, además, a la cuestión específica del tiempo, demostrando que la célebre solución de la cadena de bloques al problema de la sucesión distribuida —mediante la cual una red de nodos asincrónicos, que de otro modo carecería de líder, logra ponerse de acuerdo sobre una historia única, lineal y encadenada por hash— no es ni un descubrimiento atemporal sobre la naturaleza de la sucesión ni un logro metafísico, sino una elección, </w:t>
      </w:r>
      <w:r>
        <w:rPr>
          <w:rFonts w:ascii="Times New Roman" w:hAnsi="Times New Roman" w:cs="Times New Roman"/>
        </w:rPr>
        <w:t>costeada con</w:t>
      </w:r>
      <w:r>
        <w:rPr>
          <w:rFonts w:ascii="Times New Roman" w:hAnsi="Times New Roman" w:cs="Times New Roman"/>
        </w:rPr>
        <w:t xml:space="preserve"> energía, políticamente </w:t>
      </w:r>
      <w:r>
        <w:rPr>
          <w:rFonts w:ascii="Times New Roman" w:hAnsi="Times New Roman" w:cs="Times New Roman"/>
        </w:rPr>
        <w:t>disputada</w:t>
      </w:r>
      <w:r>
        <w:rPr>
          <w:rFonts w:ascii="Times New Roman" w:hAnsi="Times New Roman" w:cs="Times New Roman"/>
        </w:rPr>
        <w:t xml:space="preserve"> e históricamente contingente</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de</w:t>
      </w:r>
      <w:r>
        <w:rPr>
          <w:rFonts w:ascii="Times New Roman" w:hAnsi="Times New Roman" w:cs="Times New Roman"/>
        </w:rPr>
        <w:t xml:space="preserve"> imponer una visión particular del orden, una elección tan profundamente arraigada en la arquitectura de la tecnología que incluso las propuestas más recientes de incorporar representaciones genuinamente no clásicas y entrelazadas cuánticamente al libro mayor dejan intacta su temporalidad estrictamente serial y dialéctica, en lugar de desplazarla. Leídos en conjunto, estos argumentos reorientan el debate entre el </w:t>
      </w:r>
      <w:r>
        <w:rPr>
          <w:rFonts w:ascii="Times New Roman" w:hAnsi="Times New Roman" w:cs="Times New Roman"/>
        </w:rPr>
        <w:t>Estado</w:t>
      </w:r>
      <w:r>
        <w:rPr>
          <w:rFonts w:ascii="Times New Roman" w:hAnsi="Times New Roman" w:cs="Times New Roman"/>
        </w:rPr>
        <w:t xml:space="preserve"> de </w:t>
      </w:r>
      <w:r>
        <w:rPr>
          <w:rFonts w:ascii="Times New Roman" w:hAnsi="Times New Roman" w:cs="Times New Roman"/>
        </w:rPr>
        <w:t>derecho</w:t>
      </w:r>
      <w:r>
        <w:rPr>
          <w:rFonts w:ascii="Times New Roman" w:hAnsi="Times New Roman" w:cs="Times New Roman"/>
        </w:rPr>
        <w:t xml:space="preserve"> y el </w:t>
      </w:r>
      <w:r>
        <w:rPr>
          <w:rFonts w:ascii="Times New Roman" w:hAnsi="Times New Roman" w:cs="Times New Roman"/>
        </w:rPr>
        <w:t>gobierno del código</w:t>
      </w:r>
      <w:r>
        <w:rPr>
          <w:rFonts w:ascii="Times New Roman" w:hAnsi="Times New Roman" w:cs="Times New Roman"/>
        </w:rPr>
        <w:t>, o por</w:t>
      </w:r>
      <w:r>
        <w:rPr>
          <w:rFonts w:ascii="Times New Roman" w:hAnsi="Times New Roman" w:cs="Times New Roman"/>
        </w:rPr>
        <w:t xml:space="preserve"> </w:t>
      </w:r>
      <w:r>
        <w:rPr>
          <w:rFonts w:ascii="Times New Roman" w:hAnsi="Times New Roman" w:cs="Times New Roman"/>
        </w:rPr>
        <w:t>código,,</w:t>
      </w:r>
      <w:r>
        <w:rPr>
          <w:rFonts w:ascii="Times New Roman" w:hAnsi="Times New Roman" w:cs="Times New Roman"/>
        </w:rPr>
        <w:t xml:space="preserve"> alejándolo de una contienda entre dos soberanos claramente opuestos y orientándolo hacia un reconocimiento más inquietante: que el verdadero conflicto se da entre distintas ecologías regulatorias, cada una de las cuales organiza el significado, el tiempo y la legitimidad de acuerdo con su propia lógica interna, y que la tarea que le queda a la regulación humana no es elegir entre estas ecologías, sino dar contenido normativo a las puertas —por estrechas que sean— en las que se ven obligadas a encontrarse.</w:t>
      </w:r>
    </w:p>
    <w:p w:rsidRPr="002162E0" w:rsidR="009D2504" w:rsidP="004E3A22" w:rsidRDefault="009D2504" w14:paraId="148785D9" w14:textId="171E7F25">
      <w:pPr>
        <w:ind w:firstLine="720"/>
        <w:rPr>
          <w:rFonts w:ascii="Times New Roman" w:hAnsi="Times New Roman" w:cs="Times New Roman"/>
        </w:rPr>
      </w:pPr>
      <w:r>
        <w:rPr>
          <w:rFonts w:ascii="Times New Roman" w:hAnsi="Times New Roman" w:cs="Times New Roman"/>
          <w:i/>
          <w:iCs/>
        </w:rPr>
        <w:t xml:space="preserve">Palabras clave: </w:t>
      </w:r>
      <w:r>
        <w:rPr>
          <w:rFonts w:ascii="Times New Roman" w:hAnsi="Times New Roman" w:cs="Times New Roman"/>
        </w:rPr>
        <w:t xml:space="preserve">cadena de bloques, Estado de derecho, semiótica, sistemas, regulación, código de máquina, temporalidad</w:t>
      </w:r>
    </w:p>
    <w:p w:rsidRPr="002162E0" w:rsidR="00957625" w:rsidP="00843294" w:rsidRDefault="00000000" w14:paraId="0A35EA7E" w14:textId="68DF46ED">
      <w:pPr>
        <w:pStyle w:val="p3"/>
        <w:rPr>
          <w:rFonts w:ascii="Times New Roman" w:hAnsi="Times New Roman"/>
          <w:sz w:val="24"/>
          <w:szCs w:val="24"/>
        </w:rPr>
      </w:pPr>
      <w:bdo w:val="ltr">
        <w:r>
          <w:t>‬</w:t>
        </w:r>
        <w:bdo w:val="ltr">
          <w:r>
            <w:rPr>
              <w:rFonts w:ascii="Times New Roman" w:hAnsi="Times New Roman"/>
            </w:rPr>
            <w:t>‬</w:t>
          </w:r>
          <w:r>
            <w:rPr>
              <w:rFonts w:ascii="Times New Roman" w:hAnsi="Times New Roman"/>
            </w:rPr>
            <w:t>‬</w:t>
          </w:r>
          <w:r>
            <w:t>‬</w:t>
          </w:r>
          <w:r>
            <w:t>‬</w:t>
          </w:r>
          <w:r>
            <w:t>‬</w:t>
          </w:r>
          <w:r>
            <w:t>‬</w:t>
          </w:r>
          <w:r>
            <w:t>‬</w:t>
          </w:r>
          <w:r>
            <w:t>‬</w:t>
          </w:r>
          <w:r>
            <w:t>‬</w:t>
          </w:r>
          <w:r>
            <w:t>‬</w:t>
          </w:r>
          <w:r>
            <w:t>‬</w:t>
          </w:r>
          <w:r>
            <w:t>‬</w:t>
          </w:r>
          <w:r>
            <w:t>‬</w:t>
          </w:r>
          <w:r>
            <w:t>‬</w:t>
          </w:r>
          <w:r>
            <w:t>‬</w:t>
          </w:r>
          <w:r>
            <w:t>‬</w:t>
          </w:r>
          <w:r>
            <w:t>‬</w:t>
          </w:r>
          <w:r>
            <w:t>‬</w:t>
          </w:r>
        </w:bdo>
      </w:bdo>
    </w:p>
    <w:p w:rsidR="00C8423B" w:rsidRDefault="00C8423B" w14:paraId="7B154E10" w14:textId="77777777">
      <w:pPr>
        <w:rPr>
          <w:rFonts w:ascii="Times New Roman" w:hAnsi="Times New Roman" w:cs="Times New Roman"/>
        </w:rPr>
      </w:pPr>
      <w:r>
        <w:rPr>
          <w:rFonts w:ascii="Times New Roman" w:hAnsi="Times New Roman" w:cs="Times New Roman"/>
        </w:rPr>
        <w:br w:type="page"/>
      </w:r>
    </w:p>
    <w:p w:rsidR="00FA1982" w:rsidP="00FA1982" w:rsidRDefault="006C12F7" w14:paraId="60FEB7AA" w14:textId="16F61F23">
      <w:pPr>
        <w:rPr>
          <w:rFonts w:ascii="Times New Roman" w:hAnsi="Times New Roman" w:cs="Times New Roman"/>
        </w:rPr>
      </w:pPr>
      <w:r>
        <w:rPr>
          <w:rFonts w:ascii="Times New Roman" w:hAnsi="Times New Roman" w:cs="Times New Roman"/>
        </w:rPr>
        <w:lastRenderedPageBreak/>
      </w:r>
      <w:r>
        <w:rPr>
          <w:rFonts w:ascii="Times New Roman" w:hAnsi="Times New Roman" w:cs="Times New Roman"/>
        </w:rPr>
        <w:t xml:space="preserve">I. Introducción.</w:t>
      </w:r>
    </w:p>
    <w:p w:rsidRPr="002162E0" w:rsidR="00DF35B2" w:rsidP="00384919" w:rsidRDefault="0091033E" w14:paraId="6798C798" w14:textId="09730F4B">
      <w:pPr>
        <w:ind w:firstLine="720"/>
        <w:rPr>
          <w:rFonts w:ascii="Times New Roman" w:hAnsi="Times New Roman" w:cs="Times New Roman"/>
        </w:rPr>
      </w:pPr>
      <w:r>
        <w:rPr>
          <w:rFonts w:ascii="Times New Roman" w:hAnsi="Times New Roman" w:cs="Times New Roman"/>
        </w:rPr>
        <w:t xml:space="preserve">Este artículo aborda las interacciones entre el </w:t>
      </w:r>
      <w:r>
        <w:t>gobierno</w:t>
      </w:r>
      <w:r>
        <w:rPr>
          <w:rFonts w:ascii="Times New Roman" w:hAnsi="Times New Roman" w:cs="Times New Roman"/>
        </w:rPr>
        <w:t xml:space="preserve"> del </w:t>
      </w:r>
      <w:r>
        <w:t>código</w:t>
      </w:r>
      <w:r>
        <w:rPr>
          <w:rStyle w:val="FootnoteReference"/>
          <w:rFonts w:ascii="Times New Roman" w:hAnsi="Times New Roman" w:cs="Times New Roman"/>
        </w:rPr>
        <w:footnoteReference w:id="3"/>
      </w:r>
      <w:r>
        <w:rPr>
          <w:rFonts w:ascii="Times New Roman" w:hAnsi="Times New Roman" w:cs="Times New Roman"/>
        </w:rPr>
        <w:t xml:space="preserve"> y el </w:t>
      </w:r>
      <w:r>
        <w:t>Estado</w:t>
      </w:r>
      <w:r>
        <w:rPr>
          <w:rFonts w:ascii="Times New Roman" w:hAnsi="Times New Roman" w:cs="Times New Roman"/>
        </w:rPr>
        <w:t xml:space="preserve"> de </w:t>
      </w:r>
      <w:r>
        <w:t>derecho</w:t>
      </w:r>
      <w:r>
        <w:rPr>
          <w:rStyle w:val="FootnoteReference"/>
          <w:rFonts w:ascii="Times New Roman" w:hAnsi="Times New Roman" w:cs="Times New Roman"/>
        </w:rPr>
        <w:footnoteReference w:id="4"/>
      </w:r>
      <w:r>
        <w:rPr>
          <w:rFonts w:ascii="Times New Roman" w:hAnsi="Times New Roman" w:cs="Times New Roman"/>
        </w:rPr>
        <w:t xml:space="preserve"> dentro de los espacios virtuales llenos de almacenamiento automatizado de datos y mecanismos transaccionales secuenciales, y más específicamente en su forma de cadena de bloques</w:t>
      </w:r>
      <w:r>
        <w:rPr>
          <w:rStyle w:val="FootnoteReference"/>
          <w:rFonts w:ascii="Times New Roman" w:hAnsi="Times New Roman" w:cs="Times New Roman"/>
        </w:rPr>
        <w:footnoteReference w:id="5"/>
      </w:r>
      <w:r>
        <w:rPr>
          <w:rFonts w:ascii="Times New Roman" w:hAnsi="Times New Roman" w:cs="Times New Roman"/>
        </w:rPr>
        <w:t xml:space="preserve"> . Se podría comenzar señalando un cierto grado de absurdo en esta búsqueda, en el sentido antiguo del término (del latín </w:t>
      </w:r>
      <w:r>
        <w:rPr>
          <w:rFonts w:ascii="Times New Roman" w:hAnsi="Times New Roman" w:cs="Times New Roman"/>
        </w:rPr>
        <w:t xml:space="preserve">«absurdus»)</w:t>
      </w:r>
      <w:r>
        <w:rPr>
          <w:rFonts w:ascii="Times New Roman" w:hAnsi="Times New Roman" w:cs="Times New Roman"/>
        </w:rPr>
        <w:t xml:space="preserve">,</w:t>
      </w:r>
      <w:r>
        <w:rPr>
          <w:rFonts w:ascii="Times New Roman" w:hAnsi="Times New Roman" w:cs="Times New Roman"/>
        </w:rPr>
        <w:t xml:space="preserve"> que sugiere sonidos ásperos y discordantes (al menos para el oyente) y, por lo tanto, carentes de sentido desde la perspectiva de las expectativas de orden y estructura.</w:t>
      </w:r>
      <w:r>
        <w:rPr>
          <w:rStyle w:val="FootnoteReference"/>
          <w:rFonts w:ascii="Times New Roman" w:hAnsi="Times New Roman" w:cs="Times New Roman"/>
        </w:rPr>
        <w:footnoteReference w:id="6"/>
      </w:r>
      <w:r>
        <w:rPr>
          <w:rFonts w:ascii="Times New Roman" w:hAnsi="Times New Roman" w:cs="Times New Roman"/>
        </w:rPr>
        <w:t xml:space="preserve"> Nietzsche se burló </w:t>
      </w:r>
      <w:r>
        <w:t>célebremente</w:t>
      </w:r>
      <w:r>
        <w:rPr>
          <w:rFonts w:ascii="Times New Roman" w:hAnsi="Times New Roman" w:cs="Times New Roman"/>
        </w:rPr>
        <w:t xml:space="preserve"> de los ingleses y de sus intentos de hacer filosofía, por su obsesión con la utilidad, es decir, por su «modernidad».</w:t>
      </w:r>
      <w:r>
        <w:rPr>
          <w:rStyle w:val="FootnoteReference"/>
          <w:rFonts w:ascii="Times New Roman" w:hAnsi="Times New Roman" w:cs="Times New Roman"/>
        </w:rPr>
        <w:footnoteReference w:id="7"/>
      </w:r>
      <w:r>
        <w:rPr>
          <w:rFonts w:ascii="Times New Roman" w:hAnsi="Times New Roman" w:cs="Times New Roman"/>
        </w:rPr>
        <w:t xml:space="preserve"> Esa obsesión parece haberse filtrado ahora y haber invadido el mundo virtual y, más específicamente, las inteligencias con las que los humanos buscan poblar ese mundo sin pensar mucho en los parámetros organizativos de la utilidad y sus límites.</w:t>
      </w:r>
      <w:r>
        <w:rPr>
          <w:rStyle w:val="FootnoteReference"/>
          <w:rFonts w:ascii="Times New Roman" w:hAnsi="Times New Roman" w:cs="Times New Roman"/>
        </w:rPr>
        <w:footnoteReference w:id="8"/>
      </w:r>
      <w:r>
        <w:rPr>
          <w:rFonts w:ascii="Times New Roman" w:hAnsi="Times New Roman" w:cs="Times New Roman"/>
        </w:rPr>
        <w:t xml:space="preserve"> Los ciberpunks de la década de 1980 bien podrían haber dado en el clavo cuando hablaban de la ciberanarquía en lugar de un orden olímpico, y de una fractura entre la codificación de las máquinas y la de los humanos que podría replantear la cuestión del acoplamiento estructural entre las reglas del código y la ley, convirtiéndola en algo muy diferente.</w:t>
      </w:r>
      <w:r>
        <w:rPr>
          <w:rStyle w:val="FootnoteReference"/>
          <w:rFonts w:ascii="Times New Roman" w:hAnsi="Times New Roman" w:cs="Times New Roman"/>
        </w:rPr>
        <w:footnoteReference w:id="9"/>
      </w:r>
      <w:r>
        <w:rPr>
          <w:rFonts w:ascii="Times New Roman" w:hAnsi="Times New Roman" w:cs="Times New Roman"/>
        </w:rPr>
        <w:t xml:space="preserve"> Por lo tanto, podría ser útil tomarnos un momento para considerar esta obsesión y su manifestación virtual, tanto para los humanos como para las máquinas, desde la perspectiva de los fenómenos, la semiótica, el lenguaje y la construcción colectiva de significado.</w:t>
      </w:r>
    </w:p>
    <w:p w:rsidRPr="002162E0" w:rsidR="00DF35B2" w:rsidP="00170CC5" w:rsidRDefault="00DF35B2" w14:paraId="5FED5D45" w14:textId="77777777">
      <w:pPr>
        <w:ind w:firstLine="720"/>
        <w:rPr>
          <w:rFonts w:ascii="Times New Roman" w:hAnsi="Times New Roman" w:cs="Times New Roman"/>
        </w:rPr>
      </w:pPr>
    </w:p>
    <w:p w:rsidRPr="002162E0" w:rsidR="00D33081" w:rsidP="00257379" w:rsidRDefault="004233BE" w14:paraId="27EEB1D0" w14:textId="57760AB8">
      <w:pPr>
        <w:ind w:firstLine="720"/>
        <w:rPr>
          <w:rFonts w:ascii="Times New Roman" w:hAnsi="Times New Roman" w:cs="Times New Roman"/>
        </w:rPr>
      </w:pPr>
      <w:r>
        <w:rPr>
          <w:rFonts w:ascii="Times New Roman" w:hAnsi="Times New Roman" w:cs="Times New Roman"/>
        </w:rPr>
        <w:t xml:space="preserve">Se ha convertido casi en un </w:t>
      </w:r>
      <w:r>
        <w:t>lugar común</w:t>
      </w:r>
      <w:r>
        <w:rPr>
          <w:rFonts w:ascii="Times New Roman" w:hAnsi="Times New Roman" w:cs="Times New Roman"/>
        </w:rPr>
        <w:t xml:space="preserve"> que</w:t>
      </w:r>
      <w:r>
        <w:t>, en</w:t>
      </w:r>
      <w:r>
        <w:rPr>
          <w:rFonts w:ascii="Times New Roman" w:hAnsi="Times New Roman" w:cs="Times New Roman"/>
        </w:rPr>
        <w:t xml:space="preserve"> la modernidad</w:t>
      </w:r>
      <w:r>
        <w:t>,</w:t>
      </w:r>
      <w:r>
        <w:rPr>
          <w:rStyle w:val="FootnoteReference"/>
        </w:rPr>
        <w:footnoteReference w:id="10"/>
      </w:r>
      <w:r>
        <w:rPr>
          <w:rFonts w:ascii="Times New Roman" w:hAnsi="Times New Roman" w:cs="Times New Roman"/>
        </w:rPr>
        <w:t xml:space="preserve"> algunos de los cambios más </w:t>
      </w:r>
      <w:r>
        <w:t>hondamente</w:t>
      </w:r>
      <w:r>
        <w:rPr>
          <w:rFonts w:ascii="Times New Roman" w:hAnsi="Times New Roman" w:cs="Times New Roman"/>
        </w:rPr>
        <w:t xml:space="preserve"> interesantes y fundamentales en la gestión de la organización colectiva humana y, lo que es más importante,</w:t>
      </w:r>
      <w:r>
        <w:t xml:space="preserve"> en</w:t>
      </w:r>
      <w:r>
        <w:rPr>
          <w:rFonts w:ascii="Times New Roman" w:hAnsi="Times New Roman" w:cs="Times New Roman"/>
        </w:rPr>
        <w:t xml:space="preserve"> su racionalización de la realidad circundante, puedan proyectarse a partir de los avances más pequeños y, a primera vista, irrelevantes. Así podría decirse de la cadena de bloques —como tecnología, como medio para facilitar el acoplamiento estructural de los individuos y sus instituciones colectivas y, a un nivel fundamental, como una </w:t>
      </w:r>
      <w:r>
        <w:rPr>
          <w:rFonts w:ascii="Times New Roman" w:hAnsi="Times New Roman" w:cs="Times New Roman"/>
        </w:rPr>
        <w:t>ideología</w:t>
      </w:r>
      <w:r>
        <w:rPr>
          <w:rFonts w:ascii="Times New Roman" w:hAnsi="Times New Roman" w:cs="Times New Roman"/>
        </w:rPr>
        <w:lastRenderedPageBreak/>
      </w:r>
      <w:r>
        <w:rPr>
          <w:rFonts w:ascii="Times New Roman" w:hAnsi="Times New Roman" w:cs="Times New Roman"/>
        </w:rPr>
        <w:t xml:space="preserve"> de gestión de los colectivos humanos y su manifestación de una forma peculiar y bastante específica de organizar la realidad.</w:t>
      </w:r>
      <w:r>
        <w:rPr>
          <w:rStyle w:val="FootnoteReference"/>
          <w:rFonts w:ascii="Times New Roman" w:hAnsi="Times New Roman" w:cs="Times New Roman"/>
        </w:rPr>
        <w:footnoteReference w:id="11"/>
      </w:r>
      <w:r>
        <w:rPr>
          <w:rFonts w:ascii="Times New Roman" w:hAnsi="Times New Roman" w:cs="Times New Roman"/>
        </w:rPr>
        <w:t xml:space="preserve"> Al mismo tiempo, ese cliché se convierte en una amenaza, así como en una compulsión o tentación, en la que la modernidad —habiendo «perdido el impulso ideológico de la razón y el progreso, y confundiéndose cada vez más con el juego formal del cambio», y habiéndose reducido «a una cultura de acontecimientos cotidianos»— descubre ahora que </w:t>
      </w:r>
      <w:r>
        <w:rPr>
          <w:rFonts w:ascii="Times New Roman" w:hAnsi="Times New Roman" w:cs="Times New Roman"/>
        </w:rPr>
        <w:t xml:space="preserve">«incluso </w:t>
      </w:r>
      <w:r>
        <w:rPr>
          <w:rFonts w:ascii="Times New Roman" w:hAnsi="Times New Roman" w:cs="Times New Roman"/>
        </w:rPr>
        <w:t xml:space="preserve">sus mitos se vuelven en su contra (la tecnología, otrora triunfante, está hoy llena de amenazas)».</w:t>
      </w:r>
      <w:r>
        <w:rPr>
          <w:rStyle w:val="FootnoteReference"/>
          <w:rFonts w:ascii="Times New Roman" w:hAnsi="Times New Roman" w:cs="Times New Roman"/>
        </w:rPr>
        <w:footnoteReference w:id="12"/>
      </w:r>
    </w:p>
    <w:p w:rsidRPr="002162E0" w:rsidR="00D33081" w:rsidP="00FF1F0B" w:rsidRDefault="00D33081" w14:paraId="173B6B6B" w14:textId="77777777">
      <w:pPr>
        <w:rPr>
          <w:rFonts w:ascii="Times New Roman" w:hAnsi="Times New Roman" w:cs="Times New Roman"/>
        </w:rPr>
      </w:pPr>
    </w:p>
    <w:p w:rsidRPr="002162E0" w:rsidR="00AE5A61" w:rsidP="00170CC5" w:rsidRDefault="00ED38E4" w14:paraId="609ADA9E" w14:textId="1FB8147A">
      <w:pPr>
        <w:ind w:firstLine="720"/>
        <w:rPr>
          <w:rFonts w:ascii="Times New Roman" w:hAnsi="Times New Roman" w:cs="Times New Roman"/>
        </w:rPr>
      </w:pPr>
      <w:r>
        <w:rPr>
          <w:rFonts w:ascii="Times New Roman" w:hAnsi="Times New Roman" w:cs="Times New Roman"/>
        </w:rPr>
        <w:t xml:space="preserve">El núcleo de la jaula cognitiva que surge como blockchain —una que se manifiesta en el espacio real a través de </w:t>
      </w:r>
      <w:r>
        <w:rPr>
          <w:rFonts w:ascii="Times New Roman" w:hAnsi="Times New Roman" w:cs="Times New Roman"/>
        </w:rPr>
        <w:t xml:space="preserve">bits de datos </w:t>
      </w:r>
      <w:r>
        <w:rPr>
          <w:rFonts w:ascii="Times New Roman" w:hAnsi="Times New Roman" w:cs="Times New Roman"/>
          <w:i/>
          <w:iCs/>
        </w:rPr>
        <w:t xml:space="preserve">digitalizados </w:t>
      </w:r>
      <w:r>
        <w:rPr>
          <w:rFonts w:ascii="Times New Roman" w:hAnsi="Times New Roman" w:cs="Times New Roman"/>
        </w:rPr>
        <w:t xml:space="preserve">que son significativos</w:t>
      </w:r>
      <w:r>
        <w:rPr>
          <w:rStyle w:val="FootnoteReference"/>
          <w:rFonts w:ascii="Times New Roman" w:hAnsi="Times New Roman" w:cs="Times New Roman"/>
        </w:rPr>
        <w:footnoteReference w:id="13"/>
      </w:r>
      <w:r>
        <w:rPr>
          <w:rFonts w:ascii="Times New Roman" w:hAnsi="Times New Roman" w:cs="Times New Roman"/>
        </w:rPr>
        <w:t xml:space="preserve"> para los participantes y que luego se ordenan cronológicamente— es engañosamente simple: la creación de un libro mayor digital. Ese libro mayor digital, como su nombre lo indica, es un espacio en el que se registra algo —algo de interés o valor para quienes dedicarían tiempo y esfuerzo a su creación—. Desde la perspectiva de la semiótica, nos encontramos aquí con la mimesis de un objeto discreto (temporal y espacialmente) que adquiere significado a través de su representación virtual, la cual a su vez se vuelve real por sus efectos más allá del libro mayor digitalizado.</w:t>
      </w:r>
      <w:r>
        <w:rPr>
          <w:rStyle w:val="FootnoteReference"/>
          <w:rFonts w:ascii="Times New Roman" w:hAnsi="Times New Roman" w:cs="Times New Roman"/>
        </w:rPr>
        <w:footnoteReference w:id="14"/>
      </w:r>
      <w:r>
        <w:rPr>
          <w:rFonts w:ascii="Times New Roman" w:hAnsi="Times New Roman" w:cs="Times New Roman"/>
        </w:rPr>
        <w:t xml:space="preserve"> Al principio se registraban transacciones y se desarrolló algo así como una moneda autorreferencial (y todas las monedas, ya sean digitales o analógicas, son por definición autorreferenciales en el sentido de que su valor es una función de la creencia colectiva en su valor a través del uso).</w:t>
      </w:r>
      <w:r>
        <w:rPr>
          <w:rStyle w:val="FootnoteReference"/>
          <w:rFonts w:ascii="Times New Roman" w:hAnsi="Times New Roman" w:cs="Times New Roman"/>
        </w:rPr>
        <w:footnoteReference w:id="15"/>
      </w:r>
      <w:r>
        <w:rPr>
          <w:rFonts w:ascii="Times New Roman" w:hAnsi="Times New Roman" w:cs="Times New Roman"/>
        </w:rPr>
        <w:t xml:space="preserve"> Y, sin embargo, no hay nada que impida el registro de </w:t>
      </w:r>
      <w:r>
        <w:rPr>
          <w:rFonts w:ascii="Times New Roman" w:hAnsi="Times New Roman" w:cs="Times New Roman"/>
          <w:i/>
          <w:iCs/>
        </w:rPr>
        <w:t xml:space="preserve">cualquier conjunto </w:t>
      </w:r>
      <w:r>
        <w:rPr>
          <w:rFonts w:ascii="Times New Roman" w:hAnsi="Times New Roman" w:cs="Times New Roman"/>
        </w:rPr>
        <w:t xml:space="preserve">de bits de datos al que uno o más proveedores puedan atribuirle significado —sujeto, tal vez, únicamente a los límites de temporalidad incorporados en las estructuras fundamentales de los flujos de transacciones y memoria ordenados secuencialmente.</w:t>
      </w:r>
      <w:r>
        <w:rPr>
          <w:rStyle w:val="FootnoteReference"/>
          <w:rFonts w:ascii="Times New Roman" w:hAnsi="Times New Roman" w:cs="Times New Roman"/>
        </w:rPr>
        <w:footnoteReference w:id="16"/>
      </w:r>
    </w:p>
    <w:p w:rsidRPr="002162E0" w:rsidR="00AE5A61" w:rsidP="00FF1F0B" w:rsidRDefault="00AE5A61" w14:paraId="371CDD20" w14:textId="77777777">
      <w:pPr>
        <w:rPr>
          <w:rFonts w:ascii="Times New Roman" w:hAnsi="Times New Roman" w:cs="Times New Roman"/>
        </w:rPr>
      </w:pPr>
    </w:p>
    <w:p w:rsidRPr="002162E0" w:rsidR="00AE5A61" w:rsidP="00170CC5" w:rsidRDefault="003A2E98" w14:paraId="7553ADEC" w14:textId="668613B3">
      <w:pPr>
        <w:ind w:firstLine="720"/>
        <w:rPr>
          <w:rFonts w:ascii="Times New Roman" w:hAnsi="Times New Roman" w:cs="Times New Roman"/>
        </w:rPr>
      </w:pPr>
      <w:r>
        <w:rPr>
          <w:rFonts w:ascii="Times New Roman" w:hAnsi="Times New Roman" w:cs="Times New Roman"/>
        </w:rPr>
        <w:t xml:space="preserve">No obstante, esa significación tiene poco valor cuando la unidad autorreferencial es el individuo autónomo.</w:t>
      </w:r>
      <w:r>
        <w:rPr>
          <w:rStyle w:val="FootnoteReference"/>
          <w:rFonts w:ascii="Times New Roman" w:hAnsi="Times New Roman" w:cs="Times New Roman"/>
        </w:rPr>
        <w:footnoteReference w:id="17"/>
      </w:r>
      <w:r>
        <w:rPr>
          <w:rFonts w:ascii="Times New Roman" w:hAnsi="Times New Roman" w:cs="Times New Roman"/>
        </w:rPr>
        <w:t xml:space="preserve"> Aquí se habla de identidad, es decir, de la constitución de un objeto no como algo distinto de sí mismo en sí, sino como el receptáculo de un significado que es una agregación de sus partes constitutivas (datos), pero autónomo de ellas como algo propio —en efecto, tal vez algo así como una versión de «identidad» </w:t>
      </w:r>
      <w:r>
        <w:rPr>
          <w:rFonts w:ascii="Times New Roman" w:hAnsi="Times New Roman" w:cs="Times New Roman"/>
        </w:rPr>
        <w:t xml:space="preserve">en forma de máquina</w:t>
      </w:r>
      <w:r>
        <w:rPr>
          <w:rFonts w:ascii="Times New Roman" w:hAnsi="Times New Roman" w:cs="Times New Roman"/>
        </w:rPr>
        <w:t xml:space="preserve"> o </w:t>
      </w:r>
      <w:r>
        <w:rPr>
          <w:rFonts w:ascii="Times New Roman" w:hAnsi="Times New Roman" w:cs="Times New Roman"/>
        </w:rPr>
        <w:t xml:space="preserve">proceso</w:t>
      </w:r>
      <w:r>
        <w:rPr>
          <w:rFonts w:ascii="Times New Roman" w:hAnsi="Times New Roman" w:cs="Times New Roman"/>
        </w:rPr>
        <w:lastRenderedPageBreak/>
      </w:r>
      <w:r>
        <w:rPr>
          <w:rFonts w:ascii="Times New Roman" w:hAnsi="Times New Roman" w:cs="Times New Roman"/>
        </w:rPr>
        <w:t xml:space="preserve"> —</w:t>
      </w:r>
      <w:r>
        <w:rPr>
          <w:rFonts w:ascii="Times New Roman" w:hAnsi="Times New Roman" w:cs="Times New Roman"/>
        </w:rPr>
        <w:t xml:space="preserve">,</w:t>
      </w:r>
      <w:r>
        <w:rPr>
          <w:rFonts w:ascii="Times New Roman" w:hAnsi="Times New Roman" w:cs="Times New Roman"/>
        </w:rPr>
        <w:t xml:space="preserve"> lo cual ha sido el problema semiótico central del siglo pasado.</w:t>
      </w:r>
      <w:r>
        <w:rPr>
          <w:rStyle w:val="FootnoteReference"/>
          <w:rFonts w:ascii="Times New Roman" w:hAnsi="Times New Roman" w:cs="Times New Roman"/>
        </w:rPr>
        <w:footnoteReference w:id="18"/>
      </w:r>
      <w:r>
        <w:rPr>
          <w:rFonts w:ascii="Times New Roman" w:hAnsi="Times New Roman" w:cs="Times New Roman"/>
        </w:rPr>
        <w:t xml:space="preserve"> Ese acto de registro se vuelve más interesante para la organización de las relaciones sociales cuando dichos registros digitalizados adquieren un significado colectivo y se distribuyen a través de muchos espacios digitalizados (computadoras u otros soportes de «memoria» virtual en forma mimética).</w:t>
      </w:r>
      <w:r>
        <w:rPr>
          <w:rStyle w:val="FootnoteReference"/>
          <w:rFonts w:ascii="Times New Roman" w:hAnsi="Times New Roman" w:cs="Times New Roman"/>
        </w:rPr>
        <w:footnoteReference w:id="19"/>
      </w:r>
      <w:r>
        <w:rPr>
          <w:rFonts w:ascii="Times New Roman" w:hAnsi="Times New Roman" w:cs="Times New Roman"/>
        </w:rPr>
        <w:t xml:space="preserve"> Aquí uno se encuentra no solo con la memoria, sino con la gestión de la confianza en la cadena de bloques.</w:t>
      </w:r>
      <w:r>
        <w:rPr>
          <w:rStyle w:val="FootnoteReference"/>
          <w:rFonts w:ascii="Times New Roman" w:hAnsi="Times New Roman" w:cs="Times New Roman"/>
        </w:rPr>
        <w:footnoteReference w:id="20"/>
      </w:r>
      <w:r>
        <w:rPr>
          <w:rFonts w:ascii="Times New Roman" w:hAnsi="Times New Roman" w:cs="Times New Roman"/>
        </w:rPr>
        <w:t xml:space="preserve"> De ello se desprende que se crea, en forma virtual, transparencia y confiabilidad de la «memoria» registrada en el libro mayor, en el sentido de que dichos recuerdos son más difíciles de contaminar o de manipular de cualquier otra forma. Se les pueden agregar datos, pero no se pueden sobrescribir;</w:t>
      </w:r>
      <w:r>
        <w:rPr>
          <w:rStyle w:val="FootnoteReference"/>
          <w:rFonts w:ascii="Times New Roman" w:hAnsi="Times New Roman" w:cs="Times New Roman"/>
        </w:rPr>
        <w:footnoteReference w:id="21"/>
      </w:r>
      <w:r>
        <w:rPr>
          <w:rFonts w:ascii="Times New Roman" w:hAnsi="Times New Roman" w:cs="Times New Roman"/>
        </w:rPr>
        <w:t xml:space="preserve"> por lo tanto, su existencia en el tiempo y el espacio virtuales es inalterable como tal. Esa inalterabilidad proporciona una base poderosa para la utilidad —en el sentido de que puebla los espacios cognitivos para los que fue creada, y se convierte ella misma en un objeto de consumo, uso, negociación o juicio, que luego puede ser consumido en la construcción de otros objetos sin perder su factualidad histórica.</w:t>
      </w:r>
      <w:r>
        <w:rPr>
          <w:rStyle w:val="FootnoteReference"/>
          <w:rFonts w:ascii="Times New Roman" w:hAnsi="Times New Roman" w:cs="Times New Roman"/>
        </w:rPr>
        <w:footnoteReference w:id="22"/>
      </w:r>
      <w:r>
        <w:rPr>
          <w:rFonts w:ascii="Times New Roman" w:hAnsi="Times New Roman" w:cs="Times New Roman"/>
        </w:rPr>
        <w:t xml:space="preserve"> Esos otros objetos podrían abarcar prácticamente cualquier cosa, desde recompensas y castigos basados en registros contables de comportamientos, hasta la contabilización de la riqueza basada en el significado y la importancia tanto del registro contable como de su aplicación.</w:t>
      </w:r>
      <w:r>
        <w:rPr>
          <w:rStyle w:val="FootnoteReference"/>
          <w:rFonts w:ascii="Times New Roman" w:hAnsi="Times New Roman" w:cs="Times New Roman"/>
        </w:rPr>
        <w:footnoteReference w:id="23"/>
      </w:r>
    </w:p>
    <w:p w:rsidRPr="002162E0" w:rsidR="00AE5A61" w:rsidP="00FF1F0B" w:rsidRDefault="00AE5A61" w14:paraId="221925A5" w14:textId="77777777">
      <w:pPr>
        <w:rPr>
          <w:rFonts w:ascii="Times New Roman" w:hAnsi="Times New Roman" w:cs="Times New Roman"/>
        </w:rPr>
      </w:pPr>
    </w:p>
    <w:p w:rsidRPr="002162E0" w:rsidR="00B14C8D" w:rsidP="00170CC5" w:rsidRDefault="003A2E98" w14:paraId="33657ECA" w14:textId="5BA3D4C1">
      <w:pPr>
        <w:ind w:firstLine="720"/>
        <w:rPr>
          <w:rFonts w:ascii="Times New Roman" w:hAnsi="Times New Roman" w:cs="Times New Roman"/>
        </w:rPr>
      </w:pPr>
      <w:r>
        <w:rPr>
          <w:rFonts w:ascii="Times New Roman" w:hAnsi="Times New Roman" w:cs="Times New Roman"/>
        </w:rPr>
        <w:t xml:space="preserve">Al mismo tiempo, la colectivización del significado de los registros contables adquiere un aspecto colectivo interno —y, de nuevo, un medio para organizar su significado cognitivo—, al agrupar múltiples registros contables en «bloques». La significación cognitiva se vuelve más profunda a medida que la significación colectiva interna, manifestada en y como el bloque, se pone en movimiento, creando un «flujo» cognitivo en y a través de colecciones de bloques vinculados en una «cadena» cronológica (y aquí el tiempo se convierte en un elemento del código y de la cognición).</w:t>
      </w:r>
      <w:r>
        <w:rPr>
          <w:rStyle w:val="FootnoteReference"/>
          <w:rFonts w:ascii="Times New Roman" w:hAnsi="Times New Roman" w:cs="Times New Roman"/>
        </w:rPr>
        <w:footnoteReference w:id="24"/>
      </w:r>
      <w:r>
        <w:rPr>
          <w:rFonts w:ascii="Times New Roman" w:hAnsi="Times New Roman" w:cs="Times New Roman"/>
        </w:rPr>
        <w:t xml:space="preserve"> Todo esto, sin embargo, produce un sistema cognitivo que no es </w:t>
      </w:r>
      <w:r>
        <w:rPr>
          <w:rFonts w:ascii="Times New Roman" w:hAnsi="Times New Roman" w:cs="Times New Roman"/>
        </w:rPr>
        <w:lastRenderedPageBreak/>
      </w:r>
      <w:r>
        <w:t>autoconsciente</w:t>
      </w:r>
      <w:r>
        <w:rPr>
          <w:rFonts w:ascii="Times New Roman" w:hAnsi="Times New Roman" w:cs="Times New Roman"/>
        </w:rPr>
        <w:t>. Se necesita algo más —y ese algo son los «nodos» en las redes que albergan copias del libro mayor en sus bloques.</w:t>
      </w:r>
      <w:r>
        <w:rPr>
          <w:rStyle w:val="FootnoteReference"/>
          <w:rFonts w:ascii="Times New Roman" w:hAnsi="Times New Roman" w:cs="Times New Roman"/>
        </w:rPr>
        <w:footnoteReference w:id="25"/>
      </w:r>
      <w:r>
        <w:rPr>
          <w:rFonts w:ascii="Times New Roman" w:hAnsi="Times New Roman" w:cs="Times New Roman"/>
        </w:rPr>
        <w:t xml:space="preserve"> Los nodos también son objetos, pero son objetos fuera de la «cadena» de «bloques» en torno a la cual se organizan los datos mediante registros digitalizados de cualquier objeto que se haya seleccionado para dicha virtualización. En cierto sentido, los nodos eran la interfaz física de usuario que constituía a los miembros del colectivo dentro del cual los sistemas autorreferenciales de entradas de datos en el libro mayor, organizadas en bloques y encadenadas temporalmente, podían «activarse» al generar consecuencias o acciones (y, por lo tanto, bloques adicionales a lo largo de la cadena). Los nodos son tanto los guardianes como los beneficiarios de las realidades creadas dentro de las «cadenas» temporales de «bloques», al proteger la integridad del «pasado» y proporcionar un protocolo basado en el consenso para validar las consecuencias de la activación en forma de nuevos bloques a lo largo de la cadena (no tiene por qué ser así, pero los nodos también imitan las ideologías de ordenamiento más fundamentales de las que surgen).</w:t>
      </w:r>
      <w:r>
        <w:rPr>
          <w:rStyle w:val="FootnoteReference"/>
          <w:rFonts w:ascii="Times New Roman" w:hAnsi="Times New Roman" w:cs="Times New Roman"/>
        </w:rPr>
        <w:footnoteReference w:id="26"/>
      </w:r>
    </w:p>
    <w:p w:rsidRPr="002162E0" w:rsidR="00B14C8D" w:rsidP="00FF1F0B" w:rsidRDefault="00B14C8D" w14:paraId="29A55DAD" w14:textId="77777777">
      <w:pPr>
        <w:rPr>
          <w:rFonts w:ascii="Times New Roman" w:hAnsi="Times New Roman" w:cs="Times New Roman"/>
        </w:rPr>
      </w:pPr>
    </w:p>
    <w:p w:rsidRPr="002162E0" w:rsidR="007E5EC6" w:rsidP="006E6407" w:rsidRDefault="00B14C8D" w14:paraId="62225A98" w14:textId="50E18271">
      <w:pPr>
        <w:ind w:firstLine="720"/>
        <w:rPr>
          <w:rFonts w:ascii="Times New Roman" w:hAnsi="Times New Roman" w:cs="Times New Roman"/>
        </w:rPr>
      </w:pPr>
      <w:r>
        <w:rPr>
          <w:rFonts w:ascii="Times New Roman" w:hAnsi="Times New Roman" w:cs="Times New Roman"/>
        </w:rPr>
        <w:t xml:space="preserve">Es aquí donde </w:t>
      </w:r>
      <w:r>
        <w:rPr>
          <w:rFonts w:ascii="Times New Roman" w:hAnsi="Times New Roman" w:cs="Times New Roman"/>
        </w:rPr>
        <w:t xml:space="preserve">ocurre </w:t>
      </w:r>
      <w:r>
        <w:rPr>
          <w:rFonts w:ascii="Times New Roman" w:hAnsi="Times New Roman" w:cs="Times New Roman"/>
          <w:i/>
          <w:iCs/>
        </w:rPr>
        <w:t xml:space="preserve">la digitalización</w:t>
      </w:r>
      <w:r>
        <w:rPr>
          <w:rStyle w:val="FootnoteReference"/>
          <w:rFonts w:ascii="Times New Roman" w:hAnsi="Times New Roman" w:cs="Times New Roman"/>
          <w:i/>
          <w:iCs/>
        </w:rPr>
        <w:footnoteReference w:id="27"/>
      </w:r>
      <w:r>
        <w:rPr>
          <w:rFonts w:ascii="Times New Roman" w:hAnsi="Times New Roman" w:cs="Times New Roman"/>
        </w:rPr>
        <w:t xml:space="preserve">, mediante la incorporación de tecnologías digitales para automatizar tareas, incluida la retención de datos. Los nodos son, en su mayor parte, computadoras o servidores que funcionan como sus cuerpos físicos. Estos cuerpos físicos operan a través de un </w:t>
      </w:r>
      <w:r>
        <w:rPr>
          <w:rFonts w:ascii="Times New Roman" w:hAnsi="Times New Roman" w:cs="Times New Roman"/>
        </w:rPr>
        <w:t>metasistema</w:t>
      </w:r>
      <w:r>
        <w:rPr>
          <w:rFonts w:ascii="Times New Roman" w:hAnsi="Times New Roman" w:cs="Times New Roman"/>
        </w:rPr>
        <w:t xml:space="preserve"> operativo y, más específicamente en lo que respecta a la cadena de bloques, mediante </w:t>
      </w:r>
      <w:r>
        <w:rPr>
          <w:rFonts w:ascii="Times New Roman" w:hAnsi="Times New Roman" w:cs="Times New Roman"/>
          <w:i/>
          <w:iCs/>
        </w:rPr>
        <w:t xml:space="preserve">software </w:t>
      </w:r>
      <w:r>
        <w:rPr>
          <w:rFonts w:ascii="Times New Roman" w:hAnsi="Times New Roman" w:cs="Times New Roman"/>
        </w:rPr>
        <w:t xml:space="preserve">que establece las reglas operativas aplicables a cada nodo y limita sus acciones en comunión con todos los demás nodos admitidos en el congreso de nodos que </w:t>
      </w:r>
      <w:r>
        <w:rPr>
          <w:rFonts w:ascii="Times New Roman" w:hAnsi="Times New Roman" w:cs="Times New Roman"/>
        </w:rPr>
        <w:t>constituye</w:t>
      </w:r>
      <w:r>
        <w:rPr>
          <w:rFonts w:ascii="Times New Roman" w:hAnsi="Times New Roman" w:cs="Times New Roman"/>
        </w:rPr>
        <w:t xml:space="preserve"> el colectivo de la cadena de bloques. El software es, en sí mismo, un conjunto de </w:t>
      </w:r>
      <w:r>
        <w:rPr>
          <w:rFonts w:ascii="Times New Roman" w:hAnsi="Times New Roman" w:cs="Times New Roman"/>
          <w:i/>
          <w:iCs/>
        </w:rPr>
        <w:t xml:space="preserve">instrucciones </w:t>
      </w:r>
      <w:r>
        <w:rPr>
          <w:rFonts w:ascii="Times New Roman" w:hAnsi="Times New Roman" w:cs="Times New Roman"/>
        </w:rPr>
        <w:t xml:space="preserve">legibles para los humanos —y a veces escritas por ellos—</w:t>
      </w:r>
      <w:r>
        <w:rPr>
          <w:rStyle w:val="FootnoteReference"/>
        </w:rPr>
        <w:footnoteReference w:id="28"/>
      </w:r>
      <w:r>
        <w:rPr>
          <w:rFonts w:ascii="Times New Roman" w:hAnsi="Times New Roman" w:cs="Times New Roman"/>
        </w:rPr>
        <w:t xml:space="preserve"> </w:t>
      </w:r>
      <w:r>
        <w:rPr>
          <w:rFonts w:ascii="Times New Roman" w:hAnsi="Times New Roman" w:cs="Times New Roman"/>
          <w:i/>
          <w:iCs/>
        </w:rPr>
        <w:t xml:space="preserve">en un lenguaje de programación</w:t>
      </w:r>
      <w:r>
        <w:rPr>
          <w:rFonts w:ascii="Times New Roman" w:hAnsi="Times New Roman" w:cs="Times New Roman"/>
        </w:rPr>
        <w:t xml:space="preserve">, </w:t>
      </w:r>
      <w:r>
        <w:rPr>
          <w:rFonts w:ascii="Times New Roman" w:hAnsi="Times New Roman" w:cs="Times New Roman"/>
        </w:rPr>
        <w:t xml:space="preserve">concebido </w:t>
      </w:r>
      <w:r>
        <w:rPr>
          <w:rFonts w:ascii="Times New Roman" w:hAnsi="Times New Roman" w:cs="Times New Roman"/>
        </w:rPr>
        <w:t>también</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por tradición,</w:t>
      </w:r>
      <w:r>
        <w:rPr>
          <w:rFonts w:ascii="Times New Roman" w:hAnsi="Times New Roman" w:cs="Times New Roman"/>
        </w:rPr>
        <w:t xml:space="preserve"> por los humanos y para su </w:t>
      </w:r>
      <w:r>
        <w:rPr>
          <w:rFonts w:ascii="Times New Roman" w:hAnsi="Times New Roman" w:cs="Times New Roman"/>
        </w:rPr>
        <w:t>deleite (su utilidad</w:t>
      </w:r>
      <w:r>
        <w:rPr>
          <w:rFonts w:ascii="Times New Roman" w:hAnsi="Times New Roman" w:cs="Times New Roman"/>
        </w:rPr>
        <w:t xml:space="preserve">), que proporciona la base para que las computadoras realicen ciertas tareas con y sobre los datos disponibles, cuya digitalización es </w:t>
      </w:r>
      <w:r>
        <w:rPr>
          <w:rFonts w:ascii="Times New Roman" w:hAnsi="Times New Roman" w:cs="Times New Roman"/>
        </w:rPr>
        <w:t>asimismo</w:t>
      </w:r>
      <w:r>
        <w:rPr>
          <w:rFonts w:ascii="Times New Roman" w:hAnsi="Times New Roman" w:cs="Times New Roman"/>
        </w:rPr>
        <w:t xml:space="preserve"> producto de la codificación </w:t>
      </w:r>
      <w:r>
        <w:rPr>
          <w:rFonts w:ascii="Times New Roman" w:hAnsi="Times New Roman" w:cs="Times New Roman"/>
        </w:rPr>
        <w:t>del</w:t>
      </w:r>
      <w:r>
        <w:rPr>
          <w:rFonts w:ascii="Times New Roman" w:hAnsi="Times New Roman" w:cs="Times New Roman"/>
        </w:rPr>
        <w:t xml:space="preserve"> software. </w:t>
      </w:r>
      <w:r>
        <w:rPr>
          <w:rFonts w:ascii="Times New Roman" w:hAnsi="Times New Roman" w:cs="Times New Roman"/>
          <w:i/>
          <w:iCs/>
        </w:rPr>
        <w:t xml:space="preserve">La codificación</w:t>
      </w:r>
      <w:r>
        <w:rPr>
          <w:rFonts w:ascii="Times New Roman" w:hAnsi="Times New Roman" w:cs="Times New Roman"/>
        </w:rPr>
        <w:t xml:space="preserve">, o codificación </w:t>
      </w:r>
      <w:r>
        <w:rPr>
          <w:rFonts w:ascii="Times New Roman" w:hAnsi="Times New Roman" w:cs="Times New Roman"/>
        </w:rPr>
        <w:t xml:space="preserve">fuente, es </w:t>
      </w:r>
      <w:r>
        <w:rPr>
          <w:rFonts w:ascii="Times New Roman" w:hAnsi="Times New Roman" w:cs="Times New Roman"/>
        </w:rPr>
        <w:t>el proceso</w:t>
      </w:r>
      <w:r>
        <w:rPr>
          <w:rFonts w:ascii="Times New Roman" w:hAnsi="Times New Roman" w:cs="Times New Roman"/>
        </w:rPr>
        <w:t xml:space="preserve"> mismo</w:t>
      </w:r>
      <w:r>
        <w:rPr>
          <w:rFonts w:ascii="Times New Roman" w:hAnsi="Times New Roman" w:cs="Times New Roman"/>
        </w:rPr>
        <w:t xml:space="preserve"> de escribir software en </w:t>
      </w:r>
      <w:r>
        <w:rPr>
          <w:rFonts w:ascii="Times New Roman" w:hAnsi="Times New Roman" w:cs="Times New Roman"/>
        </w:rPr>
        <w:t>una forma</w:t>
      </w:r>
      <w:r>
        <w:rPr>
          <w:rFonts w:ascii="Times New Roman" w:hAnsi="Times New Roman" w:cs="Times New Roman"/>
        </w:rPr>
        <w:t xml:space="preserve"> legible para los humanos; era </w:t>
      </w:r>
      <w:r>
        <w:rPr>
          <w:rFonts w:ascii="Times New Roman" w:hAnsi="Times New Roman" w:cs="Times New Roman"/>
        </w:rPr>
        <w:t>el modo</w:t>
      </w:r>
      <w:r>
        <w:rPr>
          <w:rFonts w:ascii="Times New Roman" w:hAnsi="Times New Roman" w:cs="Times New Roman"/>
        </w:rPr>
        <w:t xml:space="preserve"> en que los humanos se comunicaban con la inteligencia virtual (en sus cuerpos de hardware), pero no necesariamente </w:t>
      </w:r>
      <w:r>
        <w:rPr>
          <w:rFonts w:ascii="Times New Roman" w:hAnsi="Times New Roman" w:cs="Times New Roman"/>
        </w:rPr>
        <w:t>el modo</w:t>
      </w:r>
      <w:r>
        <w:rPr>
          <w:rFonts w:ascii="Times New Roman" w:hAnsi="Times New Roman" w:cs="Times New Roman"/>
        </w:rPr>
        <w:t xml:space="preserve"> en que </w:t>
      </w:r>
      <w:r>
        <w:rPr>
          <w:rFonts w:ascii="Times New Roman" w:hAnsi="Times New Roman" w:cs="Times New Roman"/>
        </w:rPr>
        <w:t>las inteligencias virtuales</w:t>
      </w:r>
      <w:r>
        <w:rPr>
          <w:rFonts w:ascii="Times New Roman" w:hAnsi="Times New Roman" w:cs="Times New Roman"/>
        </w:rPr>
        <w:t xml:space="preserve"> se </w:t>
      </w:r>
      <w:r>
        <w:rPr>
          <w:rFonts w:ascii="Times New Roman" w:hAnsi="Times New Roman" w:cs="Times New Roman"/>
        </w:rPr>
        <w:t>comunicaban</w:t>
      </w:r>
      <w:r>
        <w:rPr>
          <w:rFonts w:ascii="Times New Roman" w:hAnsi="Times New Roman" w:cs="Times New Roman"/>
        </w:rPr>
        <w:t xml:space="preserve"> entre sí. </w:t>
      </w:r>
      <w:r>
        <w:rPr>
          <w:rFonts w:ascii="Times New Roman" w:hAnsi="Times New Roman" w:cs="Times New Roman"/>
        </w:rPr>
        <w:t>A tales</w:t>
      </w:r>
      <w:r>
        <w:rPr>
          <w:rFonts w:ascii="Times New Roman" w:hAnsi="Times New Roman" w:cs="Times New Roman"/>
        </w:rPr>
        <w:t xml:space="preserve"> fines, </w:t>
      </w:r>
      <w:r>
        <w:rPr>
          <w:rFonts w:ascii="Times New Roman" w:hAnsi="Times New Roman" w:cs="Times New Roman"/>
        </w:rPr>
        <w:t>las inteligencias virtuales</w:t>
      </w:r>
      <w:r>
        <w:rPr>
          <w:rFonts w:ascii="Times New Roman" w:hAnsi="Times New Roman" w:cs="Times New Roman"/>
        </w:rPr>
        <w:t xml:space="preserve"> se </w:t>
      </w:r>
      <w:r>
        <w:rPr>
          <w:rFonts w:ascii="Times New Roman" w:hAnsi="Times New Roman" w:cs="Times New Roman"/>
        </w:rPr>
        <w:t>comunican</w:t>
      </w:r>
      <w:r>
        <w:rPr>
          <w:rFonts w:ascii="Times New Roman" w:hAnsi="Times New Roman" w:cs="Times New Roman"/>
        </w:rPr>
        <w:t xml:space="preserve"> entre sí </w:t>
      </w:r>
      <w:r>
        <w:rPr>
          <w:rFonts w:ascii="Times New Roman" w:hAnsi="Times New Roman" w:cs="Times New Roman"/>
        </w:rPr>
        <w:t>mediante el</w:t>
      </w:r>
      <w:r>
        <w:rPr>
          <w:rFonts w:ascii="Times New Roman" w:hAnsi="Times New Roman" w:cs="Times New Roman"/>
        </w:rPr>
        <w:t xml:space="preserve"> lenguaje de máquina: una serie de códigos binarios que un procesador </w:t>
      </w:r>
      <w:r>
        <w:rPr>
          <w:rFonts w:ascii="Times New Roman" w:hAnsi="Times New Roman" w:cs="Times New Roman"/>
        </w:rPr>
        <w:t xml:space="preserve">puede utilizar para ejecutar comandos, </w:t>
      </w:r>
      <w:r>
        <w:rPr>
          <w:rFonts w:ascii="Times New Roman" w:hAnsi="Times New Roman" w:cs="Times New Roman"/>
        </w:rPr>
        <w:t>entre ellos</w:t>
      </w:r>
      <w:r>
        <w:rPr>
          <w:rFonts w:ascii="Times New Roman" w:hAnsi="Times New Roman" w:cs="Times New Roman"/>
        </w:rPr>
        <w:t>,</w:t>
      </w:r>
      <w:r>
        <w:rPr>
          <w:rFonts w:ascii="Times New Roman" w:hAnsi="Times New Roman" w:cs="Times New Roman"/>
        </w:rPr>
        <w:t xml:space="preserve"> con</w:t>
      </w:r>
      <w:r>
        <w:rPr>
          <w:rFonts w:ascii="Times New Roman" w:hAnsi="Times New Roman" w:cs="Times New Roman"/>
        </w:rPr>
        <w:t xml:space="preserve"> el </w:t>
      </w:r>
      <w:r>
        <w:rPr>
          <w:rFonts w:ascii="Times New Roman" w:hAnsi="Times New Roman" w:cs="Times New Roman"/>
        </w:rPr>
        <w:t>tiempo, el de</w:t>
      </w:r>
      <w:r>
        <w:rPr>
          <w:rFonts w:ascii="Times New Roman" w:hAnsi="Times New Roman" w:cs="Times New Roman"/>
        </w:rPr>
        <w:t xml:space="preserve"> escribir su propio código y ejecutar sus propias instrucciones en lenguaje de máquina. </w:t>
      </w:r>
      <w:r>
        <w:rPr>
          <w:rFonts w:ascii="Times New Roman" w:hAnsi="Times New Roman" w:cs="Times New Roman"/>
        </w:rPr>
        <w:t>Incluye también el código objeto (la salida,</w:t>
      </w:r>
      <w:r>
        <w:rPr>
          <w:rFonts w:ascii="Times New Roman" w:hAnsi="Times New Roman" w:cs="Times New Roman"/>
        </w:rPr>
        <w:t xml:space="preserve"> legible por </w:t>
      </w:r>
      <w:r>
        <w:rPr>
          <w:rFonts w:ascii="Times New Roman" w:hAnsi="Times New Roman" w:cs="Times New Roman"/>
        </w:rPr>
        <w:t xml:space="preserve">la </w:t>
      </w:r>
      <w:r>
        <w:rPr>
          <w:rFonts w:ascii="Times New Roman" w:hAnsi="Times New Roman" w:cs="Times New Roman"/>
        </w:rPr>
        <w:t>máquina</w:t>
      </w:r>
      <w:r>
        <w:rPr>
          <w:rFonts w:ascii="Times New Roman" w:hAnsi="Times New Roman" w:cs="Times New Roman"/>
        </w:rPr>
        <w:t>,</w:t>
      </w:r>
      <w:r>
        <w:rPr>
          <w:rFonts w:ascii="Times New Roman" w:hAnsi="Times New Roman" w:cs="Times New Roman"/>
        </w:rPr>
        <w:t xml:space="preserve"> del compilador </w:t>
      </w:r>
      <w:r>
        <w:rPr>
          <w:rFonts w:ascii="Times New Roman" w:hAnsi="Times New Roman" w:cs="Times New Roman"/>
        </w:rPr>
        <w:t>del</w:t>
      </w:r>
      <w:r>
        <w:rPr>
          <w:rFonts w:ascii="Times New Roman" w:hAnsi="Times New Roman" w:cs="Times New Roman"/>
        </w:rPr>
        <w:t xml:space="preserve"> código fuente) y el código ejecutable </w:t>
      </w:r>
      <w:r>
        <w:rPr>
          <w:rFonts w:ascii="Times New Roman" w:hAnsi="Times New Roman" w:cs="Times New Roman"/>
        </w:rPr>
        <w:t>(los programas</w:t>
      </w:r>
      <w:r>
        <w:rPr>
          <w:rFonts w:ascii="Times New Roman" w:hAnsi="Times New Roman" w:cs="Times New Roman"/>
        </w:rPr>
        <w:t xml:space="preserve"> operativos de</w:t>
      </w:r>
      <w:r>
        <w:rPr>
          <w:rFonts w:ascii="Times New Roman" w:hAnsi="Times New Roman" w:cs="Times New Roman"/>
        </w:rPr>
        <w:t xml:space="preserve"> una</w:t>
      </w:r>
      <w:r>
        <w:rPr>
          <w:rFonts w:ascii="Times New Roman" w:hAnsi="Times New Roman" w:cs="Times New Roman"/>
        </w:rPr>
        <w:t xml:space="preserve"> computadora, a veces en el conocido formato .exe, que son los archivos de programa de cada </w:t>
      </w:r>
      <w:r>
        <w:rPr>
          <w:rFonts w:ascii="Times New Roman" w:hAnsi="Times New Roman" w:cs="Times New Roman"/>
        </w:rPr>
        <w:t>cual</w:t>
      </w:r>
      <w:r>
        <w:rPr>
          <w:rFonts w:ascii="Times New Roman" w:hAnsi="Times New Roman" w:cs="Times New Roman"/>
        </w:rPr>
        <w:t>). Los humanos pueden leer el código fuente, pero no el código</w:t>
      </w:r>
      <w:r>
        <w:rPr>
          <w:rFonts w:ascii="Times New Roman" w:hAnsi="Times New Roman" w:cs="Times New Roman"/>
        </w:rPr>
        <w:t xml:space="preserve"> de</w:t>
      </w:r>
      <w:r>
        <w:rPr>
          <w:rFonts w:ascii="Times New Roman" w:hAnsi="Times New Roman" w:cs="Times New Roman"/>
        </w:rPr>
        <w:t xml:space="preserve"> máquina ni el código objeto.</w:t>
      </w:r>
      <w:r>
        <w:rPr>
          <w:rStyle w:val="FootnoteReference"/>
          <w:rFonts w:ascii="Times New Roman" w:hAnsi="Times New Roman" w:cs="Times New Roman"/>
        </w:rPr>
        <w:footnoteReference w:id="29"/>
      </w:r>
      <w:r>
        <w:rPr>
          <w:rFonts w:ascii="Times New Roman" w:hAnsi="Times New Roman" w:cs="Times New Roman"/>
        </w:rPr>
        <w:t xml:space="preserve"> El código fuente sirve para programar (al menos al </w:t>
      </w:r>
      <w:r>
        <w:rPr>
          <w:rFonts w:ascii="Times New Roman" w:hAnsi="Times New Roman" w:cs="Times New Roman"/>
        </w:rPr>
        <w:lastRenderedPageBreak/>
      </w:r>
      <w:r>
        <w:rPr>
          <w:rFonts w:ascii="Times New Roman" w:hAnsi="Times New Roman" w:cs="Times New Roman"/>
        </w:rPr>
        <w:t>principio</w:t>
      </w:r>
      <w:r>
        <w:rPr>
          <w:rFonts w:ascii="Times New Roman" w:hAnsi="Times New Roman" w:cs="Times New Roman"/>
        </w:rPr>
        <w:t xml:space="preserve">), y el código </w:t>
      </w:r>
      <w:r>
        <w:rPr>
          <w:rFonts w:ascii="Times New Roman" w:hAnsi="Times New Roman" w:cs="Times New Roman"/>
        </w:rPr>
        <w:t xml:space="preserve">de </w:t>
      </w:r>
      <w:r>
        <w:rPr>
          <w:rFonts w:ascii="Times New Roman" w:hAnsi="Times New Roman" w:cs="Times New Roman"/>
        </w:rPr>
        <w:t>máquina</w:t>
      </w:r>
      <w:r>
        <w:rPr>
          <w:rFonts w:ascii="Times New Roman" w:hAnsi="Times New Roman" w:cs="Times New Roman"/>
        </w:rPr>
        <w:t>,</w:t>
      </w:r>
      <w:r>
        <w:rPr>
          <w:rFonts w:ascii="Times New Roman" w:hAnsi="Times New Roman" w:cs="Times New Roman"/>
        </w:rPr>
        <w:t xml:space="preserve"> para </w:t>
      </w:r>
      <w:r>
        <w:rPr>
          <w:rFonts w:ascii="Times New Roman" w:hAnsi="Times New Roman" w:cs="Times New Roman"/>
        </w:rPr>
        <w:t>ejecutar</w:t>
      </w:r>
      <w:r>
        <w:rPr>
          <w:rFonts w:ascii="Times New Roman" w:hAnsi="Times New Roman" w:cs="Times New Roman"/>
        </w:rPr>
        <w:t xml:space="preserve"> (incluida la ejecución que permite </w:t>
      </w:r>
      <w:r>
        <w:rPr>
          <w:rFonts w:ascii="Times New Roman" w:hAnsi="Times New Roman" w:cs="Times New Roman"/>
        </w:rPr>
        <w:t>al</w:t>
      </w:r>
      <w:r>
        <w:rPr>
          <w:rFonts w:ascii="Times New Roman" w:hAnsi="Times New Roman" w:cs="Times New Roman"/>
        </w:rPr>
        <w:t xml:space="preserve"> código </w:t>
      </w:r>
      <w:r>
        <w:rPr>
          <w:rFonts w:ascii="Times New Roman" w:hAnsi="Times New Roman" w:cs="Times New Roman"/>
        </w:rPr>
        <w:t xml:space="preserve">de </w:t>
      </w:r>
      <w:r>
        <w:rPr>
          <w:rFonts w:ascii="Times New Roman" w:hAnsi="Times New Roman" w:cs="Times New Roman"/>
        </w:rPr>
        <w:t xml:space="preserve">máquina </w:t>
      </w:r>
      <w:r>
        <w:rPr>
          <w:rFonts w:ascii="Times New Roman" w:hAnsi="Times New Roman" w:cs="Times New Roman"/>
        </w:rPr>
        <w:t>emprender</w:t>
      </w:r>
      <w:r>
        <w:rPr>
          <w:rFonts w:ascii="Times New Roman" w:hAnsi="Times New Roman" w:cs="Times New Roman"/>
        </w:rPr>
        <w:t xml:space="preserve"> su </w:t>
      </w:r>
      <w:r>
        <w:rPr>
          <w:rFonts w:ascii="Times New Roman" w:hAnsi="Times New Roman" w:cs="Times New Roman"/>
        </w:rPr>
        <w:t>propia codificación</w:t>
      </w:r>
      <w:r>
        <w:rPr>
          <w:rFonts w:ascii="Times New Roman" w:hAnsi="Times New Roman" w:cs="Times New Roman"/>
        </w:rPr>
        <w:t xml:space="preserve"> fuente). Aquí radica</w:t>
      </w:r>
      <w:r>
        <w:rPr>
          <w:rFonts w:ascii="Times New Roman" w:hAnsi="Times New Roman" w:cs="Times New Roman"/>
        </w:rPr>
        <w:t xml:space="preserve"> la independencia de las reglas del código respecto </w:t>
      </w:r>
      <w:r>
        <w:rPr>
          <w:rFonts w:ascii="Times New Roman" w:hAnsi="Times New Roman" w:cs="Times New Roman"/>
        </w:rPr>
        <w:t>de</w:t>
      </w:r>
      <w:r>
        <w:rPr>
          <w:rFonts w:ascii="Times New Roman" w:hAnsi="Times New Roman" w:cs="Times New Roman"/>
        </w:rPr>
        <w:t xml:space="preserve"> las </w:t>
      </w:r>
      <w:r>
        <w:rPr>
          <w:rFonts w:ascii="Times New Roman" w:hAnsi="Times New Roman" w:cs="Times New Roman"/>
        </w:rPr>
        <w:t>reglas</w:t>
      </w:r>
      <w:r>
        <w:rPr>
          <w:rFonts w:ascii="Times New Roman" w:hAnsi="Times New Roman" w:cs="Times New Roman"/>
        </w:rPr>
        <w:t xml:space="preserve"> jurídicas</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inscrita</w:t>
      </w:r>
      <w:r>
        <w:rPr>
          <w:rFonts w:ascii="Times New Roman" w:hAnsi="Times New Roman" w:cs="Times New Roman"/>
        </w:rPr>
        <w:t xml:space="preserve"> en el</w:t>
      </w:r>
      <w:r>
        <w:rPr>
          <w:rFonts w:ascii="Times New Roman" w:hAnsi="Times New Roman" w:cs="Times New Roman"/>
        </w:rPr>
        <w:t xml:space="preserve"> propio</w:t>
      </w:r>
      <w:r>
        <w:rPr>
          <w:rFonts w:ascii="Times New Roman" w:hAnsi="Times New Roman" w:cs="Times New Roman"/>
        </w:rPr>
        <w:t xml:space="preserve"> lenguaje de </w:t>
      </w:r>
      <w:r>
        <w:rPr>
          <w:rFonts w:ascii="Times New Roman" w:hAnsi="Times New Roman" w:cs="Times New Roman"/>
        </w:rPr>
        <w:t>unos</w:t>
      </w:r>
      <w:r>
        <w:rPr>
          <w:rFonts w:ascii="Times New Roman" w:hAnsi="Times New Roman" w:cs="Times New Roman"/>
        </w:rPr>
        <w:t xml:space="preserve"> sistemas que</w:t>
      </w:r>
      <w:r>
        <w:rPr>
          <w:rFonts w:ascii="Times New Roman" w:hAnsi="Times New Roman" w:cs="Times New Roman"/>
        </w:rPr>
        <w:t xml:space="preserve"> </w:t>
      </w:r>
      <w:r>
        <w:rPr>
          <w:rFonts w:ascii="Times New Roman" w:hAnsi="Times New Roman" w:cs="Times New Roman"/>
        </w:rPr>
        <w:t>a la vez</w:t>
      </w:r>
      <w:r>
        <w:rPr>
          <w:rFonts w:ascii="Times New Roman" w:hAnsi="Times New Roman" w:cs="Times New Roman"/>
        </w:rPr>
        <w:t xml:space="preserve"> constituyen un orden regulatorio y </w:t>
      </w:r>
      <w:r>
        <w:rPr>
          <w:rFonts w:ascii="Times New Roman" w:hAnsi="Times New Roman" w:cs="Times New Roman"/>
        </w:rPr>
        <w:t>levantan muros</w:t>
      </w:r>
      <w:r>
        <w:rPr>
          <w:rFonts w:ascii="Times New Roman" w:hAnsi="Times New Roman" w:cs="Times New Roman"/>
        </w:rPr>
        <w:t xml:space="preserve"> contra la proyección hacia </w:t>
      </w:r>
      <w:r>
        <w:rPr>
          <w:rFonts w:ascii="Times New Roman" w:hAnsi="Times New Roman" w:cs="Times New Roman"/>
        </w:rPr>
        <w:t>su interior</w:t>
      </w:r>
      <w:r>
        <w:rPr>
          <w:rFonts w:ascii="Times New Roman" w:hAnsi="Times New Roman" w:cs="Times New Roman"/>
        </w:rPr>
        <w:t xml:space="preserve"> de otros órdenes </w:t>
      </w:r>
      <w:r>
        <w:rPr>
          <w:rFonts w:ascii="Times New Roman" w:hAnsi="Times New Roman" w:cs="Times New Roman"/>
        </w:rPr>
        <w:t>regulatorios</w:t>
      </w:r>
      <w:r>
        <w:rPr>
          <w:rFonts w:ascii="Times New Roman" w:hAnsi="Times New Roman" w:cs="Times New Roman"/>
        </w:rPr>
        <w:t>.</w:t>
      </w:r>
      <w:r>
        <w:rPr>
          <w:rStyle w:val="FootnoteReference"/>
          <w:rFonts w:ascii="Times New Roman" w:hAnsi="Times New Roman" w:cs="Times New Roman"/>
        </w:rPr>
        <w:footnoteReference w:id="30"/>
      </w:r>
    </w:p>
    <w:p w:rsidRPr="002162E0" w:rsidR="007E5EC6" w:rsidP="00FF1F0B" w:rsidRDefault="007E5EC6" w14:paraId="547E8803" w14:textId="77777777">
      <w:pPr>
        <w:rPr>
          <w:rFonts w:ascii="Times New Roman" w:hAnsi="Times New Roman" w:cs="Times New Roman"/>
        </w:rPr>
      </w:pPr>
    </w:p>
    <w:p w:rsidRPr="002162E0" w:rsidR="00B14C8D" w:rsidP="006E6407" w:rsidRDefault="007E5EC6" w14:paraId="4AE1A4AD" w14:textId="2E843F88">
      <w:pPr>
        <w:ind w:firstLine="720"/>
        <w:rPr>
          <w:rFonts w:ascii="Times New Roman" w:hAnsi="Times New Roman" w:cs="Times New Roman"/>
        </w:rPr>
      </w:pPr>
      <w:r>
        <w:rPr>
          <w:rFonts w:ascii="Times New Roman" w:hAnsi="Times New Roman" w:cs="Times New Roman"/>
        </w:rPr>
        <w:t xml:space="preserve">En cierto sentido, entonces, la cadena de bloques implica la alineación de tres lenguajes: el lenguaje de humano a humano (y con él su propia semiótica de la construcción de significado), el lenguaje de humano a máquina (y con él una transposición de una semiótica de valores más personales traducida para la inteligencia </w:t>
      </w:r>
      <w:r>
        <w:rPr>
          <w:rFonts w:ascii="Times New Roman" w:hAnsi="Times New Roman" w:cs="Times New Roman"/>
        </w:rPr>
        <w:t>de máquina</w:t>
      </w:r>
      <w:r>
        <w:rPr>
          <w:rFonts w:ascii="Times New Roman" w:hAnsi="Times New Roman" w:cs="Times New Roman"/>
        </w:rPr>
        <w:t>), y el lenguaje de máquina a máquina, cuya semiótica es una función de las posibilidades inscritas en su propio lenguaje. Y es en esta alineación del lenguaje —y con ella, su semiótica y fenomenología de disciplinar el significado colectivo y hacer cumplir el mandato— donde, por fin, se puede hablar del surgimiento de legalidades colectivas más allá de su manifestación tradicional en el poder físico ejercido a través de la acción, el texto y la institución</w:t>
      </w:r>
      <w:r>
        <w:rPr>
          <w:rFonts w:ascii="Times New Roman" w:hAnsi="Times New Roman" w:cs="Times New Roman"/>
        </w:rPr>
        <w:t xml:space="preserve">.</w:t>
      </w:r>
      <w:r>
        <w:rPr>
          <w:rStyle w:val="FootnoteReference"/>
          <w:rFonts w:ascii="Times New Roman" w:hAnsi="Times New Roman" w:cs="Times New Roman"/>
        </w:rPr>
        <w:footnoteReference w:id="31"/>
      </w:r>
      <w:r>
        <w:rPr>
          <w:rFonts w:ascii="Times New Roman" w:hAnsi="Times New Roman" w:cs="Times New Roman"/>
        </w:rPr>
        <w:t xml:space="preserve"> Nos </w:t>
      </w:r>
      <w:r>
        <w:rPr>
          <w:rFonts w:ascii="Times New Roman" w:hAnsi="Times New Roman" w:cs="Times New Roman"/>
        </w:rPr>
        <w:t>centramos</w:t>
      </w:r>
      <w:r>
        <w:rPr>
          <w:rFonts w:ascii="Times New Roman" w:hAnsi="Times New Roman" w:cs="Times New Roman"/>
        </w:rPr>
        <w:t xml:space="preserve"> en dos de ellas en el contexto de la cadena de bloques: </w:t>
      </w:r>
      <w:r>
        <w:rPr>
          <w:rFonts w:ascii="Times New Roman" w:hAnsi="Times New Roman" w:cs="Times New Roman"/>
          <w:i/>
          <w:iCs/>
        </w:rPr>
        <w:t xml:space="preserve">la conocida ley del código y la ley de la regulación</w:t>
      </w:r>
      <w:r>
        <w:rPr>
          <w:rFonts w:ascii="Times New Roman" w:hAnsi="Times New Roman" w:cs="Times New Roman"/>
        </w:rPr>
        <w:t xml:space="preserve">. Ambas adoptan las nociones del </w:t>
      </w:r>
      <w:r>
        <w:rPr>
          <w:rFonts w:ascii="Times New Roman" w:hAnsi="Times New Roman" w:cs="Times New Roman"/>
        </w:rPr>
        <w:t>Estado</w:t>
      </w:r>
      <w:r>
        <w:rPr>
          <w:rFonts w:ascii="Times New Roman" w:hAnsi="Times New Roman" w:cs="Times New Roman"/>
        </w:rPr>
        <w:t xml:space="preserve"> de derecho en la medida en que están codificadas dentro de las estructuras de significado de su lenguaje, y desde ahí se aplican de maneras que refuerzan o, al menos, manifiestan significado y valores en los objetos regulados. Y ahora uno se encuentra con una </w:t>
      </w:r>
      <w:r>
        <w:rPr>
          <w:rFonts w:ascii="Times New Roman" w:hAnsi="Times New Roman" w:cs="Times New Roman"/>
        </w:rPr>
        <w:t>Sacher-Torte</w:t>
      </w:r>
      <w:r>
        <w:rPr>
          <w:rFonts w:ascii="Times New Roman" w:hAnsi="Times New Roman" w:cs="Times New Roman"/>
        </w:rPr>
        <w:t xml:space="preserve"> de lenguajes —al menos cinco, entre los que se distribuyen estas tres alineaciones—: densas capas de </w:t>
      </w:r>
      <w:r>
        <w:rPr>
          <w:rFonts w:ascii="Times New Roman" w:hAnsi="Times New Roman" w:cs="Times New Roman"/>
        </w:rPr>
        <w:t>bizcocho</w:t>
      </w:r>
      <w:r>
        <w:rPr>
          <w:rFonts w:ascii="Times New Roman" w:hAnsi="Times New Roman" w:cs="Times New Roman"/>
        </w:rPr>
        <w:t xml:space="preserve"> separadas por una </w:t>
      </w:r>
      <w:r>
        <w:rPr>
          <w:rFonts w:ascii="Times New Roman" w:hAnsi="Times New Roman" w:cs="Times New Roman"/>
        </w:rPr>
        <w:t>mermelada</w:t>
      </w:r>
      <w:r>
        <w:rPr>
          <w:rFonts w:ascii="Times New Roman" w:hAnsi="Times New Roman" w:cs="Times New Roman"/>
        </w:rPr>
        <w:t xml:space="preserve"> que sirve como medio de conexión entre ellas, y todo para producir lo que a primera vista parece ser un sistema sencillo y eficiente.</w:t>
      </w:r>
    </w:p>
    <w:p w:rsidRPr="002162E0" w:rsidR="00C72FD8" w:rsidP="00FF1F0B" w:rsidRDefault="00C72FD8" w14:paraId="13A1DFF3" w14:textId="77777777">
      <w:pPr>
        <w:rPr>
          <w:rFonts w:ascii="Times New Roman" w:hAnsi="Times New Roman" w:cs="Times New Roman"/>
        </w:rPr>
      </w:pPr>
    </w:p>
    <w:p w:rsidRPr="002162E0" w:rsidR="000D5ED5" w:rsidP="006E6407" w:rsidRDefault="00C72FD8" w14:paraId="60679F45" w14:textId="20B50257">
      <w:pPr>
        <w:ind w:firstLine="720"/>
        <w:rPr>
          <w:rFonts w:ascii="Times New Roman" w:hAnsi="Times New Roman" w:cs="Times New Roman"/>
        </w:rPr>
      </w:pPr>
      <w:r>
        <w:rPr>
          <w:rFonts w:ascii="Times New Roman" w:hAnsi="Times New Roman" w:cs="Times New Roman"/>
        </w:rPr>
        <w:t xml:space="preserve">¡Y así es! La elegancia de esta forma es irresistible. Es democrática y antihierárquica de maneras que solo la participación potenciada por la tecnología puede hacer posible (al menos para quienes pueden permitirse la tecnología y el costo de la capacitación en ella).</w:t>
      </w:r>
      <w:r>
        <w:rPr>
          <w:rStyle w:val="FootnoteReference"/>
          <w:rFonts w:ascii="Times New Roman" w:hAnsi="Times New Roman" w:cs="Times New Roman"/>
        </w:rPr>
        <w:footnoteReference w:id="32"/>
      </w:r>
      <w:r>
        <w:rPr>
          <w:rFonts w:ascii="Times New Roman" w:hAnsi="Times New Roman" w:cs="Times New Roman"/>
        </w:rPr>
        <w:t xml:space="preserve"> Ofrece una mayor seguridad contra la corrupción (cuyos límites aún quedan por comprobar) y proporciona una transparencia igualitaria que protege la inmutabilidad de los hechos —es decir, del registro de datos que se comparte ampliamente y que, por lo tanto, es mucho más difícil de </w:t>
      </w:r>
      <w:r>
        <w:rPr>
          <w:rFonts w:ascii="Times New Roman" w:hAnsi="Times New Roman" w:cs="Times New Roman"/>
        </w:rPr>
        <w:t>«remodelar»</w:t>
      </w:r>
      <w:r>
        <w:rPr>
          <w:rFonts w:ascii="Times New Roman" w:hAnsi="Times New Roman" w:cs="Times New Roman"/>
        </w:rPr>
        <w:t xml:space="preserve"> para adaptarlo a los tiempos o a las inclinaciones del poder. Su descentralización abrió un camino virtual hacia fuertes tendencias que ya eran ampliamente visibles en el mundo de la regulación organizativa humana: desde un federalismo revitalizado en Estados Unidos</w:t>
      </w:r>
      <w:r>
        <w:rPr>
          <w:rStyle w:val="FootnoteReference"/>
          <w:rFonts w:ascii="Times New Roman" w:hAnsi="Times New Roman" w:cs="Times New Roman"/>
        </w:rPr>
        <w:footnoteReference w:id="33"/>
      </w:r>
      <w:r>
        <w:rPr>
          <w:rFonts w:ascii="Times New Roman" w:hAnsi="Times New Roman" w:cs="Times New Roman"/>
        </w:rPr>
        <w:t xml:space="preserve"> , hasta el auge (más o menos) del principio de subsidiariedad en la Unión Europea</w:t>
      </w:r>
      <w:r>
        <w:rPr>
          <w:rStyle w:val="FootnoteReference"/>
          <w:rFonts w:ascii="Times New Roman" w:hAnsi="Times New Roman" w:cs="Times New Roman"/>
        </w:rPr>
        <w:footnoteReference w:id="34"/>
      </w:r>
      <w:r>
        <w:rPr>
          <w:rFonts w:ascii="Times New Roman" w:hAnsi="Times New Roman" w:cs="Times New Roman"/>
        </w:rPr>
        <w:t xml:space="preserve"> , pasando por la centralización y descentralización selectivas dentro </w:t>
      </w:r>
      <w:r>
        <w:rPr>
          <w:rFonts w:ascii="Times New Roman" w:hAnsi="Times New Roman" w:cs="Times New Roman"/>
        </w:rPr>
        <w:t xml:space="preserve">del </w:t>
      </w:r>
      <w:r>
        <w:rPr>
          <w:rFonts w:ascii="Times New Roman" w:hAnsi="Times New Roman" w:cs="Times New Roman"/>
        </w:rPr>
        <w:lastRenderedPageBreak/>
      </w:r>
      <w:r>
        <w:rPr>
          <w:rFonts w:ascii="Times New Roman" w:hAnsi="Times New Roman" w:cs="Times New Roman"/>
        </w:rPr>
        <w:t>marxismo-leninismo</w:t>
      </w:r>
      <w:r>
        <w:rPr>
          <w:rFonts w:ascii="Times New Roman" w:hAnsi="Times New Roman" w:cs="Times New Roman"/>
        </w:rPr>
        <w:t xml:space="preserve"> chino</w:t>
      </w:r>
      <w:r>
        <w:rPr>
          <w:rStyle w:val="FootnoteReference"/>
          <w:rFonts w:ascii="Times New Roman" w:hAnsi="Times New Roman" w:cs="Times New Roman"/>
        </w:rPr>
        <w:footnoteReference w:id="35"/>
      </w:r>
      <w:r>
        <w:rPr>
          <w:rFonts w:ascii="Times New Roman" w:hAnsi="Times New Roman" w:cs="Times New Roman"/>
        </w:rPr>
        <w:t xml:space="preserve"> . Y su eficiencia no tenía parangón. Parecía resolver el gran desafío de la elaboración de leyes —uno en el que su esencia como comando (*.exe) era una proyección exógena sobre los cuerpos de quienes debían cumplirla—.</w:t>
      </w:r>
      <w:r>
        <w:rPr>
          <w:rStyle w:val="FootnoteReference"/>
          <w:rFonts w:ascii="Times New Roman" w:hAnsi="Times New Roman" w:cs="Times New Roman"/>
        </w:rPr>
        <w:footnoteReference w:id="36"/>
      </w:r>
      <w:r>
        <w:rPr>
          <w:rFonts w:ascii="Times New Roman" w:hAnsi="Times New Roman" w:cs="Times New Roman"/>
        </w:rPr>
        <w:t xml:space="preserve"> Eso dio lugar a la gran jurisprudencia procesal del derecho: encontrar formas de naturalizar los principios del texto legal en sus sujetos y desarrollar mecanismos de control externo. La cadena de bloques automatizó el proceso de regulación y cumplimiento, incorporando la internalización al lenguaje de su propia codificación. Los </w:t>
      </w:r>
      <w:r>
        <w:rPr>
          <w:rFonts w:ascii="Times New Roman" w:hAnsi="Times New Roman" w:cs="Times New Roman"/>
          <w:i/>
          <w:iCs/>
        </w:rPr>
        <w:t xml:space="preserve">lenguajes </w:t>
      </w:r>
      <w:r>
        <w:rPr>
          <w:rFonts w:ascii="Times New Roman" w:hAnsi="Times New Roman" w:cs="Times New Roman"/>
        </w:rPr>
        <w:t xml:space="preserve">de programación, entonces, eran normativos, regulatorios, descriptivos y procesales, creando simultáneamente el sujeto del cumplimiento y sus metodologías.</w:t>
      </w:r>
    </w:p>
    <w:p w:rsidRPr="002162E0" w:rsidR="007D2A08" w:rsidP="006E6407" w:rsidRDefault="007D2A08" w14:paraId="4FB32387" w14:textId="1483E3AC">
      <w:pPr>
        <w:ind w:firstLine="720"/>
        <w:rPr>
          <w:rFonts w:ascii="Times New Roman" w:hAnsi="Times New Roman" w:cs="Times New Roman"/>
        </w:rPr>
      </w:pPr>
      <w:r>
        <w:rPr>
          <w:rFonts w:ascii="Times New Roman" w:hAnsi="Times New Roman" w:cs="Times New Roman"/>
        </w:rPr>
        <w:t xml:space="preserve">En otras palabras, la misma tecnología se convierte en un objeto de gobernanza diferente dependiendo de quién la gobierne y con qué fin. Este punto se repite cada vez que una misma infraestructura se interpreta simultáneamente como un instrumento de reforma constitucional interna, como un recurso en la competencia geopolítica externa y como una amenaza cuya contención legitima la autoridad de cualquier actor que afirme gestionarla; los relatos recientes sobre la gobernanza de la inteligencia artificial hacen explícito este mismo movimiento, al tratar una misma tecnología como cuatro objetos de gobernanza distintos dependiendo del narrador y del público al que se dirija.</w:t>
      </w:r>
      <w:r>
        <w:rPr>
          <w:rStyle w:val="FootnoteReference"/>
          <w:rFonts w:ascii="Times New Roman" w:hAnsi="Times New Roman" w:cs="Times New Roman"/>
        </w:rPr>
        <w:footnoteReference w:id="37"/>
      </w:r>
    </w:p>
    <w:p w:rsidRPr="002162E0" w:rsidR="00B021E9" w:rsidP="00FF1F0B" w:rsidRDefault="00B021E9" w14:paraId="184860C9" w14:textId="77777777">
      <w:pPr>
        <w:rPr>
          <w:rFonts w:ascii="Times New Roman" w:hAnsi="Times New Roman" w:cs="Times New Roman"/>
        </w:rPr>
      </w:pPr>
    </w:p>
    <w:p w:rsidRPr="002162E0" w:rsidR="007D2A08" w:rsidP="00FF1F0B" w:rsidRDefault="00FA6C7D" w14:paraId="3877393F" w14:textId="1556A23A">
      <w:pPr>
        <w:rPr>
          <w:rFonts w:ascii="Times New Roman" w:hAnsi="Times New Roman" w:cs="Times New Roman"/>
        </w:rPr>
      </w:pPr>
      <w:r>
        <w:rPr>
          <w:rFonts w:ascii="Times New Roman" w:hAnsi="Times New Roman" w:cs="Times New Roman"/>
        </w:rPr>
        <w:t xml:space="preserve">II. Los desafíos</w:t>
      </w:r>
    </w:p>
    <w:p w:rsidRPr="002162E0" w:rsidR="007D2A08" w:rsidP="00FF1F0B" w:rsidRDefault="007D2A08" w14:paraId="2227FD2B" w14:textId="77777777">
      <w:pPr>
        <w:rPr>
          <w:rFonts w:ascii="Times New Roman" w:hAnsi="Times New Roman" w:cs="Times New Roman"/>
        </w:rPr>
      </w:pPr>
    </w:p>
    <w:p w:rsidRPr="002162E0" w:rsidR="007D2A08" w:rsidP="006E6407" w:rsidRDefault="007D2A08" w14:paraId="13174C05" w14:textId="77777777">
      <w:pPr>
        <w:ind w:firstLine="720"/>
        <w:rPr>
          <w:rFonts w:ascii="Times New Roman" w:hAnsi="Times New Roman" w:cs="Times New Roman"/>
        </w:rPr>
      </w:pPr>
      <w:r>
        <w:rPr>
          <w:rFonts w:ascii="Times New Roman" w:hAnsi="Times New Roman" w:cs="Times New Roman"/>
        </w:rPr>
        <w:t xml:space="preserve">Prácticamente cualquier actividad colectiva humana (y de máquinas) puede ser </w:t>
      </w:r>
      <w:r>
        <w:rPr>
          <w:rFonts w:ascii="Times New Roman" w:hAnsi="Times New Roman" w:cs="Times New Roman"/>
        </w:rPr>
        <w:t xml:space="preserve">«</w:t>
      </w:r>
      <w:r>
        <w:rPr>
          <w:rFonts w:ascii="Times New Roman" w:hAnsi="Times New Roman" w:cs="Times New Roman"/>
        </w:rPr>
        <w:t xml:space="preserve">incorporada a </w:t>
      </w:r>
      <w:r>
        <w:rPr>
          <w:rFonts w:ascii="Times New Roman" w:hAnsi="Times New Roman" w:cs="Times New Roman"/>
        </w:rPr>
        <w:t xml:space="preserve">una cadena de bloques</w:t>
      </w:r>
      <w:r>
        <w:rPr>
          <w:rFonts w:ascii="Times New Roman" w:hAnsi="Times New Roman" w:cs="Times New Roman"/>
        </w:rPr>
        <w:t xml:space="preserve">»</w:t>
      </w:r>
      <w:r>
        <w:rPr>
          <w:rFonts w:ascii="Times New Roman" w:hAnsi="Times New Roman" w:cs="Times New Roman"/>
        </w:rPr>
        <w:t xml:space="preserve"> y, por lo tanto</w:t>
      </w:r>
      <w:r>
        <w:rPr>
          <w:rFonts w:ascii="Times New Roman" w:hAnsi="Times New Roman" w:cs="Times New Roman"/>
        </w:rPr>
        <w:t xml:space="preserve">, automatizada en un espacio virtual con efectos no solo allí, sino también en los espacios físicos humanos.</w:t>
      </w:r>
      <w:r>
        <w:rPr>
          <w:rStyle w:val="FootnoteReference"/>
          <w:rFonts w:ascii="Times New Roman" w:hAnsi="Times New Roman" w:cs="Times New Roman"/>
        </w:rPr>
        <w:footnoteReference w:id="38"/>
      </w:r>
      <w:r>
        <w:rPr>
          <w:rFonts w:ascii="Times New Roman" w:hAnsi="Times New Roman" w:cs="Times New Roman"/>
        </w:rPr>
        <w:t xml:space="preserve"> Si bien desempeña un papel significativo en las actividades humanas que se prestan al «crono-bloqueo» de la información y los sistemas de decisión —es decir, a registros contables bloqueados y ordenados en el tiempo que luego están sujetos a acciones secuenciales a lo largo de arcos temporales lineales—. Entre estos se encuentran los sospechosos de siempre —criptomonedas, gestión de la cadena de suministro, contratos inteligentes</w:t>
      </w:r>
      <w:r>
        <w:rPr>
          <w:rStyle w:val="FootnoteReference"/>
          <w:rFonts w:ascii="Times New Roman" w:hAnsi="Times New Roman" w:cs="Times New Roman"/>
        </w:rPr>
        <w:footnoteReference w:id="39"/>
      </w:r>
      <w:r>
        <w:rPr>
          <w:rFonts w:ascii="Times New Roman" w:hAnsi="Times New Roman" w:cs="Times New Roman"/>
        </w:rPr>
        <w:t xml:space="preserve"> , banca e identidad digital—, pero su potencial se extiende mucho más allá, abarcando el funcionamiento de la administración municipal en forma de ciudades inteligentes, la gestión de los hogares a través de casas inteligentes (a veces alineadas con el Internet de las cosas), en la gestión de comportamientos a través de sistemas de crédito social basados en recompensas y castigos, fundamentados en cadenas de bloques que registran el comportamiento ponderado por su valor, hasta el gobierno inteligente en forma de tribunales inteligentes y, tal vez, una supervisión más inteligente de un aparato administrativo que ahora sirve como la manifestación física que materializa la realidad virtualizada.</w:t>
      </w:r>
      <w:r>
        <w:rPr>
          <w:rStyle w:val="FootnoteReference"/>
          <w:rFonts w:ascii="Times New Roman" w:hAnsi="Times New Roman" w:cs="Times New Roman"/>
        </w:rPr>
        <w:footnoteReference w:id="40"/>
      </w:r>
      <w:r>
        <w:rPr>
          <w:rFonts w:ascii="Times New Roman" w:hAnsi="Times New Roman" w:cs="Times New Roman"/>
        </w:rPr>
        <w:t xml:space="preserve"> Se puede aplicar a cualquier entorno rico en datos desde el cual se puedan constituir transacciones de todo tipo: atención médica, servicios psicológicos, chatbots,</w:t>
      </w:r>
      <w:r>
        <w:rPr>
          <w:rFonts w:ascii="Times New Roman" w:hAnsi="Times New Roman" w:cs="Times New Roman"/>
        </w:rPr>
        <w:lastRenderedPageBreak/>
      </w:r>
      <w:r>
        <w:rPr>
          <w:rFonts w:ascii="Times New Roman" w:hAnsi="Times New Roman" w:cs="Times New Roman"/>
        </w:rPr>
        <w:t xml:space="preserve"> otras cuasi-monedas y sistemas de identificación de propiedad (por ejemplo, los tokens no fungibles</w:t>
      </w:r>
      <w:r>
        <w:rPr>
          <w:rStyle w:val="FootnoteReference"/>
          <w:rFonts w:ascii="Times New Roman" w:hAnsi="Times New Roman" w:cs="Times New Roman"/>
        </w:rPr>
        <w:footnoteReference w:id="41"/>
      </w:r>
      <w:r>
        <w:rPr>
          <w:rFonts w:ascii="Times New Roman" w:hAnsi="Times New Roman" w:cs="Times New Roman"/>
        </w:rPr>
        <w:t xml:space="preserve"> ), y medios de comunicación de todo tipo. Es tanto la esencia de la historia como los componentes básicos basados en objetos para las transacciones.</w:t>
      </w:r>
    </w:p>
    <w:p w:rsidRPr="002162E0" w:rsidR="007D2A08" w:rsidP="007D2A08" w:rsidRDefault="007D2A08" w14:paraId="4EF9422C" w14:textId="77777777">
      <w:pPr>
        <w:rPr>
          <w:rFonts w:ascii="Times New Roman" w:hAnsi="Times New Roman" w:cs="Times New Roman"/>
        </w:rPr>
      </w:pPr>
    </w:p>
    <w:p w:rsidRPr="002162E0" w:rsidR="00C72FD8" w:rsidP="006E6407" w:rsidRDefault="007D2A08" w14:paraId="13BC95C5" w14:textId="204C6ED3">
      <w:pPr>
        <w:ind w:firstLine="720"/>
        <w:rPr>
          <w:rFonts w:ascii="Times New Roman" w:hAnsi="Times New Roman" w:cs="Times New Roman"/>
        </w:rPr>
      </w:pPr>
      <w:r>
        <w:rPr>
          <w:rFonts w:ascii="Times New Roman" w:hAnsi="Times New Roman" w:cs="Times New Roman"/>
        </w:rPr>
        <w:t xml:space="preserve">Esto, a su vez, proporciona un marco dentro del cual las decisiones automatizadas y las consecuencias se derivan de las transacciones sujetas al flujo de la codificación que otorga significado a las transacciones registradas en el libro mayor y, a continuación, genera un juicio y una consecuencia (una acción basada en los valores del juicio y guiada por ellos) mediante la puesta en práctica de reglas interpretativas colectivas basadas en un acuerdo sobre el valor de los objetos y su flujo a través de las transacciones</w:t>
      </w:r>
      <w:r>
        <w:rPr>
          <w:rStyle w:val="FootnoteReference"/>
          <w:rFonts w:ascii="Times New Roman" w:hAnsi="Times New Roman" w:cs="Times New Roman"/>
        </w:rPr>
        <w:footnoteReference w:id="42"/>
      </w:r>
      <w:r>
        <w:rPr>
          <w:rFonts w:ascii="Times New Roman" w:hAnsi="Times New Roman" w:cs="Times New Roman"/>
        </w:rPr>
        <w:t xml:space="preserve"> —es decir, en este sentido, </w:t>
      </w:r>
      <w:r>
        <w:rPr>
          <w:rFonts w:ascii="Times New Roman" w:hAnsi="Times New Roman" w:cs="Times New Roman"/>
          <w:i/>
          <w:iCs/>
        </w:rPr>
        <w:t xml:space="preserve">tanto </w:t>
      </w:r>
      <w:r>
        <w:rPr>
          <w:rFonts w:ascii="Times New Roman" w:hAnsi="Times New Roman" w:cs="Times New Roman"/>
        </w:rPr>
        <w:t xml:space="preserve">el universo idealizado</w:t>
      </w:r>
      <w:r>
        <w:rPr>
          <w:rStyle w:val="FootnoteReference"/>
          <w:rFonts w:ascii="Times New Roman" w:hAnsi="Times New Roman" w:cs="Times New Roman"/>
        </w:rPr>
        <w:footnoteReference w:id="43"/>
      </w:r>
      <w:r>
        <w:rPr>
          <w:rFonts w:ascii="Times New Roman" w:hAnsi="Times New Roman" w:cs="Times New Roman"/>
        </w:rPr>
        <w:t xml:space="preserve"> de la tríada semiótica (objeto → significación → interpretación/consecuencia, y de nuevo al objeto)</w:t>
      </w:r>
      <w:r>
        <w:rPr>
          <w:rStyle w:val="FootnoteReference"/>
          <w:rFonts w:ascii="Times New Roman" w:hAnsi="Times New Roman" w:cs="Times New Roman"/>
        </w:rPr>
        <w:footnoteReference w:id="44"/>
      </w:r>
      <w:r>
        <w:rPr>
          <w:rFonts w:ascii="Times New Roman" w:hAnsi="Times New Roman" w:cs="Times New Roman"/>
        </w:rPr>
        <w:t xml:space="preserve"> </w:t>
      </w:r>
      <w:r>
        <w:rPr>
          <w:rFonts w:ascii="Times New Roman" w:hAnsi="Times New Roman" w:cs="Times New Roman"/>
          <w:i/>
          <w:iCs/>
        </w:rPr>
        <w:t xml:space="preserve">como </w:t>
      </w:r>
      <w:r>
        <w:rPr>
          <w:rFonts w:ascii="Times New Roman" w:hAnsi="Times New Roman" w:cs="Times New Roman"/>
        </w:rPr>
        <w:t xml:space="preserve">la automatización de sistemas de reglas fundamentados en la identificación de objetos que serán «procesados» de maneras predecibles y predeterminadas.</w:t>
      </w:r>
      <w:r>
        <w:rPr>
          <w:rStyle w:val="FootnoteReference"/>
          <w:rFonts w:ascii="Times New Roman" w:hAnsi="Times New Roman" w:cs="Times New Roman"/>
        </w:rPr>
        <w:footnoteReference w:id="45"/>
      </w:r>
      <w:r>
        <w:rPr>
          <w:rFonts w:ascii="Times New Roman" w:hAnsi="Times New Roman" w:cs="Times New Roman"/>
        </w:rPr>
        <w:t xml:space="preserve"> Ese patrón repetitivo, que se construye sobre sí mismo y puede cambiar dependiendo de las consecuencias (en código) de las agregaciones y los patrones cambiantes de los datos de transacción, constituye la significación fundamental de la codificación (en blockchain).</w:t>
      </w:r>
    </w:p>
    <w:p w:rsidRPr="002162E0" w:rsidR="00B14C8D" w:rsidP="00FF1F0B" w:rsidRDefault="00B14C8D" w14:paraId="7990C491" w14:textId="77777777">
      <w:pPr>
        <w:rPr>
          <w:rFonts w:ascii="Times New Roman" w:hAnsi="Times New Roman" w:cs="Times New Roman"/>
        </w:rPr>
      </w:pPr>
    </w:p>
    <w:p w:rsidRPr="002162E0" w:rsidR="00D33081" w:rsidP="00D33081" w:rsidRDefault="00216BFF" w14:paraId="7C1B4C2E" w14:textId="20A7DE16">
      <w:pPr>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 xml:space="preserve">Es dentro de este marco donde se podrían considerar las tres preguntas: La primera aborda las principales amenazas contemporáneas al </w:t>
      </w:r>
      <w:r>
        <w:t>gobierno</w:t>
      </w:r>
      <w:r>
        <w:rPr>
          <w:rFonts w:ascii="Times New Roman" w:hAnsi="Times New Roman" w:cs="Times New Roman"/>
        </w:rPr>
        <w:t xml:space="preserve"> del </w:t>
      </w:r>
      <w:r>
        <w:t>código</w:t>
      </w:r>
      <w:r>
        <w:rPr>
          <w:rFonts w:ascii="Times New Roman" w:hAnsi="Times New Roman" w:cs="Times New Roman"/>
        </w:rPr>
        <w:t>.</w:t>
      </w:r>
      <w:r>
        <w:rPr>
          <w:rStyle w:val="FootnoteReference"/>
          <w:rFonts w:ascii="Times New Roman" w:hAnsi="Times New Roman" w:cs="Times New Roman"/>
        </w:rPr>
        <w:footnoteReference w:id="46"/>
      </w:r>
      <w:r>
        <w:rPr>
          <w:rFonts w:ascii="Times New Roman" w:hAnsi="Times New Roman" w:cs="Times New Roman"/>
        </w:rPr>
        <w:t xml:space="preserve"> La segunda considera la importancia del </w:t>
      </w:r>
      <w:r>
        <w:t>gobierno</w:t>
      </w:r>
      <w:r>
        <w:rPr>
          <w:rFonts w:ascii="Times New Roman" w:hAnsi="Times New Roman" w:cs="Times New Roman"/>
        </w:rPr>
        <w:t xml:space="preserve"> del </w:t>
      </w:r>
      <w:r>
        <w:t>código</w:t>
      </w:r>
      <w:r>
        <w:rPr>
          <w:rFonts w:ascii="Times New Roman" w:hAnsi="Times New Roman" w:cs="Times New Roman"/>
        </w:rPr>
        <w:t>, o al menos de los sistemas de programación regulatoria y de toma de decisiones que representan, para la legitimidad de los sistemas de cadena de bloques.</w:t>
      </w:r>
      <w:r>
        <w:rPr>
          <w:rStyle w:val="FootnoteReference"/>
          <w:rFonts w:ascii="Times New Roman" w:hAnsi="Times New Roman" w:cs="Times New Roman"/>
        </w:rPr>
        <w:footnoteReference w:id="47"/>
      </w:r>
      <w:r>
        <w:rPr>
          <w:rFonts w:ascii="Times New Roman" w:hAnsi="Times New Roman" w:cs="Times New Roman"/>
        </w:rPr>
        <w:t xml:space="preserve"> Y la tercera abordaría la dialéctica entre la regulación mediante la gobernanza de los sistemas de programación y la regulación tradicional, dentro del contexto contemporáneo de las recientes acciones legislativas y ejecutivas en el ámbito de la cadena de bloques.</w:t>
      </w:r>
      <w:r>
        <w:rPr>
          <w:rStyle w:val="FootnoteReference"/>
          <w:rFonts w:ascii="Times New Roman" w:hAnsi="Times New Roman" w:cs="Times New Roman"/>
        </w:rPr>
        <w:footnoteReference w:id="48"/>
      </w:r>
      <w:r>
        <w:rPr>
          <w:rFonts w:ascii="Times New Roman" w:hAnsi="Times New Roman" w:cs="Times New Roman"/>
        </w:rPr>
        <w:t xml:space="preserve"> Cada </w:t>
      </w:r>
      <w:r>
        <w:t>una</w:t>
      </w:r>
      <w:r>
        <w:rPr>
          <w:rFonts w:ascii="Times New Roman" w:hAnsi="Times New Roman" w:cs="Times New Roman"/>
        </w:rPr>
        <w:t xml:space="preserve"> tiene su propia semiótica. La primera está</w:t>
      </w:r>
      <w:r>
        <w:rPr>
          <w:rFonts w:ascii="Times New Roman" w:hAnsi="Times New Roman" w:cs="Times New Roman"/>
        </w:rPr>
        <w:lastRenderedPageBreak/>
      </w:r>
      <w:r>
        <w:rPr>
          <w:rFonts w:ascii="Times New Roman" w:hAnsi="Times New Roman" w:cs="Times New Roman"/>
        </w:rPr>
        <w:t xml:space="preserve"> incrustada en la semiótica más amplia de la construcción de significado colectivo obligatorio o coercitivo, como una función de los valores significados y las expectativas de lo natural en el mundo, que debe replicarse o internalizarse mediante la codificación en el lenguaje de máquina de bloques en cadenas que luego sirven como la representación virtual de lo físico con lo que interactúa al inicio y al final del proceso iterativo de creación de bloques. La segunda se refiere a la esencia normativa del lenguaje de la cadena de bloques y, con ella, a la forma en que la codificación </w:t>
      </w:r>
      <w:r>
        <w:t>fuente</w:t>
      </w:r>
      <w:r>
        <w:rPr>
          <w:rFonts w:ascii="Times New Roman" w:hAnsi="Times New Roman" w:cs="Times New Roman"/>
        </w:rPr>
        <w:t xml:space="preserve"> debe codificar no solo valores, sino también el marco cognitivo que hace que dichos valores sean racionales en el mundo autorreferencial de bloques que interactúan, es decir, sus protocolos. La tercera aborda el terror de lo físico al darse cuenta de que lo virtual ha adquirido una fisicalidad autónoma que, a su vez, amenaza su capacidad para enmarcar el mundo físico que se proyecta hacia adentro, hacia lo virtual. Veamos brevemente cada </w:t>
      </w:r>
      <w:r>
        <w:t>una</w:t>
      </w:r>
      <w:r>
        <w:rPr>
          <w:rFonts w:ascii="Times New Roman" w:hAnsi="Times New Roman" w:cs="Times New Roman"/>
        </w:rPr>
        <w:t xml:space="preserve"> de </w:t>
      </w:r>
      <w:r>
        <w:t>ellas,</w:t>
      </w:r>
      <w:r>
        <w:rPr>
          <w:rFonts w:ascii="Times New Roman" w:hAnsi="Times New Roman" w:cs="Times New Roman"/>
        </w:rPr>
        <w:t xml:space="preserve"> por turno.</w:t>
      </w:r>
    </w:p>
    <w:p w:rsidRPr="002162E0" w:rsidR="008355B1" w:rsidP="00D33081" w:rsidRDefault="008355B1" w14:paraId="1DE0FF8F" w14:textId="77777777">
      <w:pPr>
        <w:rPr>
          <w:rFonts w:ascii="Times New Roman" w:hAnsi="Times New Roman" w:cs="Times New Roman"/>
        </w:rPr>
      </w:pPr>
    </w:p>
    <w:p w:rsidRPr="002162E0" w:rsidR="008355B1" w:rsidP="00D33081" w:rsidRDefault="00027824" w14:paraId="5C42C506" w14:textId="4821F31A">
      <w:pPr>
        <w:rPr>
          <w:rFonts w:ascii="Times New Roman" w:hAnsi="Times New Roman" w:cs="Times New Roman"/>
        </w:rPr>
      </w:pPr>
      <w:r>
        <w:rPr>
          <w:rFonts w:ascii="Times New Roman" w:hAnsi="Times New Roman" w:cs="Times New Roman"/>
        </w:rPr>
        <w:t xml:space="preserve">III. Las amenazas contemporáneas al </w:t>
      </w:r>
      <w:r>
        <w:t>gobierno</w:t>
      </w:r>
      <w:r>
        <w:rPr>
          <w:rFonts w:ascii="Times New Roman" w:hAnsi="Times New Roman" w:cs="Times New Roman"/>
        </w:rPr>
        <w:t xml:space="preserve"> del </w:t>
      </w:r>
      <w:r>
        <w:t>código</w:t>
      </w:r>
      <w:r>
        <w:rPr>
          <w:rFonts w:ascii="Times New Roman" w:hAnsi="Times New Roman" w:cs="Times New Roman"/>
        </w:rPr>
        <w:t>.</w:t>
      </w:r>
    </w:p>
    <w:p w:rsidRPr="002162E0" w:rsidR="000B6D2A" w:rsidP="00D33081" w:rsidRDefault="000B6D2A" w14:paraId="1AB6EAA5" w14:textId="77777777">
      <w:pPr>
        <w:rPr>
          <w:rFonts w:ascii="Times New Roman" w:hAnsi="Times New Roman" w:cs="Times New Roman"/>
        </w:rPr>
      </w:pPr>
    </w:p>
    <w:p w:rsidRPr="002162E0" w:rsidR="004F0C91" w:rsidP="006E6407" w:rsidRDefault="008A1693" w14:paraId="792B7708" w14:textId="23E584A1">
      <w:pPr>
        <w:ind w:firstLine="720"/>
        <w:rPr>
          <w:rFonts w:ascii="Times New Roman" w:hAnsi="Times New Roman" w:cs="Times New Roman"/>
        </w:rPr>
      </w:pPr>
      <w:r>
        <w:rPr>
          <w:rFonts w:ascii="Times New Roman" w:hAnsi="Times New Roman" w:cs="Times New Roman"/>
        </w:rPr>
        <w:t xml:space="preserve">La consideración de las amenazas al </w:t>
      </w:r>
      <w:r>
        <w:t>gobierno</w:t>
      </w:r>
      <w:r>
        <w:rPr>
          <w:rFonts w:ascii="Times New Roman" w:hAnsi="Times New Roman" w:cs="Times New Roman"/>
        </w:rPr>
        <w:t xml:space="preserve"> del </w:t>
      </w:r>
      <w:r>
        <w:t>código</w:t>
      </w:r>
      <w:r>
        <w:rPr>
          <w:rFonts w:ascii="Times New Roman" w:hAnsi="Times New Roman" w:cs="Times New Roman"/>
        </w:rPr>
        <w:t xml:space="preserve">, o al menos al sistema que ha sido objetivado </w:t>
      </w:r>
      <w:r>
        <w:t>(primeridad</w:t>
      </w:r>
      <w:r>
        <w:rPr>
          <w:rFonts w:ascii="Times New Roman" w:hAnsi="Times New Roman" w:cs="Times New Roman"/>
        </w:rPr>
        <w:t>) como una «regla» del (o por el) Código,</w:t>
      </w:r>
      <w:r>
        <w:rPr>
          <w:rStyle w:val="FootnoteReference"/>
          <w:rFonts w:ascii="Times New Roman" w:hAnsi="Times New Roman" w:cs="Times New Roman"/>
        </w:rPr>
        <w:footnoteReference w:id="49"/>
      </w:r>
      <w:r>
        <w:rPr>
          <w:rFonts w:ascii="Times New Roman" w:hAnsi="Times New Roman" w:cs="Times New Roman"/>
        </w:rPr>
        <w:t xml:space="preserve"> puede abordarse de manera útil situándola en un contexto más amplio de acciones que dan forma a la realidad con efecto coercitivo.</w:t>
      </w:r>
      <w:r>
        <w:rPr>
          <w:rStyle w:val="FootnoteReference"/>
          <w:rFonts w:ascii="Times New Roman" w:hAnsi="Times New Roman" w:cs="Times New Roman"/>
        </w:rPr>
        <w:footnoteReference w:id="50"/>
      </w:r>
      <w:r>
        <w:rPr>
          <w:rFonts w:ascii="Times New Roman" w:hAnsi="Times New Roman" w:cs="Times New Roman"/>
        </w:rPr>
        <w:t xml:space="preserve"> Eso, en efecto, como sugieren Primavera De Filippi y Aaron Wright, es un problema de recintos incompatibles.</w:t>
      </w:r>
    </w:p>
    <w:p w:rsidRPr="002162E0" w:rsidR="004F0C91" w:rsidP="00D33081" w:rsidRDefault="004F0C91" w14:paraId="0CE9A3CE" w14:textId="77777777">
      <w:pPr>
        <w:rPr>
          <w:rFonts w:ascii="Times New Roman" w:hAnsi="Times New Roman" w:cs="Times New Roman"/>
        </w:rPr>
      </w:pPr>
    </w:p>
    <w:p w:rsidRPr="002162E0" w:rsidR="00427B1A" w:rsidP="004F0C91" w:rsidRDefault="004F0C91" w14:paraId="2C7502AF" w14:textId="76E18859">
      <w:pPr>
        <w:ind w:start="720" w:end="720"/>
        <w:rPr>
          <w:rFonts w:ascii="Times New Roman" w:hAnsi="Times New Roman" w:cs="Times New Roman"/>
        </w:rPr>
      </w:pPr>
      <w:r>
        <w:rPr>
          <w:rFonts w:ascii="Times New Roman" w:hAnsi="Times New Roman" w:cs="Times New Roman"/>
        </w:rPr>
        <w:t xml:space="preserve">Internet ya había generado una tensión fundamental entre el </w:t>
      </w:r>
      <w:r>
        <w:rPr>
          <w:rFonts w:ascii="Times New Roman" w:hAnsi="Times New Roman" w:cs="Times New Roman"/>
          <w:i/>
          <w:iCs/>
        </w:rPr>
        <w:t>Estado</w:t>
      </w:r>
      <w:r>
        <w:rPr>
          <w:rFonts w:ascii="Times New Roman" w:hAnsi="Times New Roman" w:cs="Times New Roman"/>
          <w:i/>
          <w:iCs/>
        </w:rPr>
        <w:t xml:space="preserve"> de derecho</w:t>
      </w:r>
      <w:r>
        <w:rPr>
          <w:rFonts w:ascii="Times New Roman" w:hAnsi="Times New Roman" w:cs="Times New Roman"/>
        </w:rPr>
        <w:t xml:space="preserve">, basado en límites geográficos, y el </w:t>
      </w:r>
      <w:r>
        <w:rPr>
          <w:rFonts w:ascii="Times New Roman" w:hAnsi="Times New Roman" w:cs="Times New Roman"/>
          <w:i/>
          <w:iCs/>
        </w:rPr>
        <w:t>gobierno</w:t>
      </w:r>
      <w:r>
        <w:rPr>
          <w:rFonts w:ascii="Times New Roman" w:hAnsi="Times New Roman" w:cs="Times New Roman"/>
          <w:i/>
          <w:iCs/>
        </w:rPr>
        <w:t xml:space="preserve"> del </w:t>
      </w:r>
      <w:r>
        <w:rPr>
          <w:rFonts w:ascii="Times New Roman" w:hAnsi="Times New Roman" w:cs="Times New Roman"/>
          <w:i/>
          <w:iCs/>
        </w:rPr>
        <w:t>código</w:t>
      </w:r>
      <w:r>
        <w:rPr>
          <w:rFonts w:ascii="Times New Roman" w:hAnsi="Times New Roman" w:cs="Times New Roman"/>
        </w:rPr>
        <w:t>, basado en construcciones topológicas. La regulación del «ciberespacio» se encuentra en la intersección entre estos dos sistemas normativos —que pueden cooperar o competir entre sí, dependiendo de las circunstancias de cada caso—.</w:t>
      </w:r>
      <w:r>
        <w:rPr>
          <w:rStyle w:val="FootnoteReference"/>
          <w:rFonts w:ascii="Times New Roman" w:hAnsi="Times New Roman" w:cs="Times New Roman"/>
        </w:rPr>
        <w:footnoteReference w:id="51"/>
      </w:r>
    </w:p>
    <w:p w:rsidRPr="002162E0" w:rsidR="000B6D2A" w:rsidP="00D33081" w:rsidRDefault="000B6D2A" w14:paraId="232BAC0D" w14:textId="77777777">
      <w:pPr>
        <w:rPr>
          <w:rFonts w:ascii="Times New Roman" w:hAnsi="Times New Roman" w:cs="Times New Roman"/>
        </w:rPr>
      </w:pPr>
    </w:p>
    <w:p w:rsidRPr="002162E0" w:rsidR="0050419F" w:rsidP="00352061" w:rsidRDefault="009D342C" w14:paraId="4E9B5F45" w14:textId="434ECB6F">
      <w:pPr>
        <w:ind w:firstLine="720"/>
        <w:rPr>
          <w:rFonts w:ascii="Times New Roman" w:hAnsi="Times New Roman" w:cs="Times New Roman"/>
        </w:rPr>
      </w:pPr>
      <w:r>
        <w:rPr>
          <w:rFonts w:ascii="Times New Roman" w:hAnsi="Times New Roman" w:cs="Times New Roman"/>
        </w:rPr>
        <w:t xml:space="preserve">Sin embargo, la incompatibilidad va más allá del terreno. Sugiere no solo resistencia, sino la sustitución de un sistema de significado colectivo por otro. Una sustitución que se aleja de su base tradicional humanizada,</w:t>
      </w:r>
      <w:r>
        <w:rPr>
          <w:rStyle w:val="FootnoteReference"/>
          <w:rFonts w:ascii="Times New Roman" w:hAnsi="Times New Roman" w:cs="Times New Roman"/>
        </w:rPr>
        <w:footnoteReference w:id="52"/>
      </w:r>
      <w:r>
        <w:rPr>
          <w:rFonts w:ascii="Times New Roman" w:hAnsi="Times New Roman" w:cs="Times New Roman"/>
        </w:rPr>
        <w:t xml:space="preserve"> </w:t>
      </w:r>
      <w:r>
        <w:rPr>
          <w:rFonts w:ascii="Times New Roman" w:hAnsi="Times New Roman" w:cs="Times New Roman"/>
        </w:rPr>
        <w:t xml:space="preserve">hacia una en la que ya no nos preocupan tanto los conflictos </w:t>
      </w:r>
      <w:r>
        <w:rPr>
          <w:rFonts w:ascii="Times New Roman" w:hAnsi="Times New Roman" w:cs="Times New Roman"/>
        </w:rPr>
        <w:t xml:space="preserve">de</w:t>
      </w:r>
      <w:r>
        <w:rPr>
          <w:rFonts w:ascii="Times New Roman" w:hAnsi="Times New Roman" w:cs="Times New Roman"/>
        </w:rPr>
        <w:t xml:space="preserve"> narrativas dominantes</w:t>
      </w:r>
      <w:r>
        <w:rPr>
          <w:rFonts w:ascii="Times New Roman" w:hAnsi="Times New Roman" w:cs="Times New Roman"/>
        </w:rPr>
        <w:t>,</w:t>
      </w:r>
      <w:r>
        <w:rPr>
          <w:rStyle w:val="FootnoteReference"/>
        </w:rPr>
        <w:footnoteReference w:id="53"/>
      </w:r>
      <w:r>
        <w:rPr>
          <w:rFonts w:ascii="Times New Roman" w:hAnsi="Times New Roman" w:cs="Times New Roman"/>
        </w:rPr>
        <w:t xml:space="preserve"> sino que, en cambio, nos enfrentamos a un conflicto narrativo en el que las máquinas pueden interactuar con los humanos, pero las narrativas de las máquinas siguen siendo opacas para los humanos</w:t>
      </w:r>
      <w:r>
        <w:rPr>
          <w:rFonts w:ascii="Times New Roman" w:hAnsi="Times New Roman" w:cs="Times New Roman"/>
        </w:rPr>
        <w:t xml:space="preserve">.</w:t>
      </w:r>
      <w:r>
        <w:rPr>
          <w:rStyle w:val="FootnoteReference"/>
          <w:rFonts w:ascii="Times New Roman" w:hAnsi="Times New Roman" w:cs="Times New Roman"/>
        </w:rPr>
        <w:footnoteReference w:id="54"/>
      </w:r>
      <w:r>
        <w:rPr>
          <w:rFonts w:ascii="Times New Roman" w:hAnsi="Times New Roman" w:cs="Times New Roman"/>
        </w:rPr>
        <w:t xml:space="preserve"> De hecho, las ambiciones de sustitución son más difíciles de concretar que los meros roles suplementarios o complementarios para los sistemas regulatorios más allá de los tradicionales. Y a partir de ahí se puede empezar a tener una idea de la variedad de problemas que amenazan la integridad </w:t>
      </w:r>
      <w:r>
        <w:t>del gobierno</w:t>
      </w:r>
      <w:r>
        <w:rPr>
          <w:rFonts w:ascii="Times New Roman" w:hAnsi="Times New Roman" w:cs="Times New Roman"/>
        </w:rPr>
        <w:lastRenderedPageBreak/>
      </w:r>
      <w:r>
        <w:rPr>
          <w:rFonts w:ascii="Times New Roman" w:hAnsi="Times New Roman" w:cs="Times New Roman"/>
        </w:rPr>
        <w:t xml:space="preserve"> del </w:t>
      </w:r>
      <w:r>
        <w:t>código</w:t>
      </w:r>
      <w:r>
        <w:rPr>
          <w:rFonts w:ascii="Times New Roman" w:hAnsi="Times New Roman" w:cs="Times New Roman"/>
        </w:rPr>
        <w:t>, tanto internos como externos. Las amenazas internas son quizás las más interesantes. Entre ellas, algunas merecen ser mencionadas:</w:t>
      </w:r>
    </w:p>
    <w:p w:rsidRPr="002162E0" w:rsidR="0050419F" w:rsidP="00D33081" w:rsidRDefault="0050419F" w14:paraId="3297748C" w14:textId="77777777">
      <w:pPr>
        <w:rPr>
          <w:rFonts w:ascii="Times New Roman" w:hAnsi="Times New Roman" w:cs="Times New Roman"/>
        </w:rPr>
      </w:pPr>
    </w:p>
    <w:p w:rsidRPr="002162E0" w:rsidR="006E6407" w:rsidP="00D33081" w:rsidRDefault="0008218E" w14:paraId="49B3AE5B" w14:textId="1E5F92E1">
      <w:pPr>
        <w:rPr>
          <w:rFonts w:ascii="Times New Roman" w:hAnsi="Times New Roman" w:cs="Times New Roman"/>
        </w:rPr>
      </w:pPr>
      <w:r>
        <w:rPr>
          <w:rFonts w:ascii="Times New Roman" w:hAnsi="Times New Roman" w:cs="Times New Roman"/>
          <w:i/>
          <w:iCs/>
        </w:rPr>
        <w:t xml:space="preserve">A. Problemas de incoherencia</w:t>
      </w:r>
      <w:r>
        <w:rPr>
          <w:rFonts w:ascii="Times New Roman" w:hAnsi="Times New Roman" w:cs="Times New Roman"/>
        </w:rPr>
        <w:t xml:space="preserve">. Una cosa es crear una cadena de bloques basada en transacciones mediante la codificación regulatoria. Otra muy distinta es entretejerlas en un sistema coherente. La dificultad radica en la regularización del acoplamiento estructural dentro de eventos transaccionales complejos, contingentes e interpenetrantes. En última instancia, la necesidad de un codificador maestro, así como de un código maestro, se vuelve más evidente; pero al </w:t>
      </w:r>
      <w:r>
        <w:rPr>
          <w:rFonts w:ascii="Times New Roman" w:hAnsi="Times New Roman" w:cs="Times New Roman"/>
        </w:rPr>
        <w:t>«resolver»</w:t>
      </w:r>
      <w:r>
        <w:rPr>
          <w:rFonts w:ascii="Times New Roman" w:hAnsi="Times New Roman" w:cs="Times New Roman"/>
        </w:rPr>
        <w:t xml:space="preserve"> un problema de incoherencia de esta manera, se socava el principio fundamental de descentralización que constituye el núcleo del proyecto normativo de la cadena de bloques. La codificación maestra parece ser materia de regulación, que ya no es dominio exclusivo de instituciones físicas investidas de autoridad regulatoria, sino que ahora se insinúa dentro del lenguaje del código; el lenguaje, en este sentido, </w:t>
      </w:r>
      <w:r>
        <w:rPr>
          <w:rFonts w:ascii="Times New Roman" w:hAnsi="Times New Roman" w:cs="Times New Roman"/>
        </w:rPr>
        <w:t>«habla»</w:t>
      </w:r>
      <w:r>
        <w:rPr>
          <w:rFonts w:ascii="Times New Roman" w:hAnsi="Times New Roman" w:cs="Times New Roman"/>
        </w:rPr>
        <w:t xml:space="preserve"> y regula. Y con ello surge la necesidad de elaborar la jaula cognitiva dentro de las realidades de un sistema virtual de transacciones integradas que se llevan a cabo de manera automatizada, a través del cual se pueda racionalizar la cadena de bloques, estabilizar su sistema de valores y comprender sus flujos internos de manera que sea posible desarrollar patrones tanto de micro como de macroeficacia y una maximización del valor basada en objetivos. En efecto, se requeriría la codificación de la cultura si se quiere gestionar el sistema en su conjunto. Y habría resistencia </w:t>
      </w:r>
      <w:r>
        <w:rPr>
          <w:rFonts w:ascii="Times New Roman" w:hAnsi="Times New Roman" w:cs="Times New Roman"/>
        </w:rPr>
        <w:t xml:space="preserve">—por ejemplo, </w:t>
      </w:r>
      <w:r>
        <w:rPr>
          <w:rFonts w:ascii="Times New Roman" w:hAnsi="Times New Roman" w:cs="Times New Roman"/>
        </w:rPr>
        <w:t xml:space="preserve">en forma de bifurcaciones</w:t>
      </w:r>
      <w:r>
        <w:rPr>
          <w:rStyle w:val="FootnoteReference"/>
          <w:rFonts w:ascii="Times New Roman" w:hAnsi="Times New Roman" w:cs="Times New Roman"/>
        </w:rPr>
        <w:footnoteReference w:id="55"/>
      </w:r>
      <w:r>
        <w:rPr>
          <w:rFonts w:ascii="Times New Roman" w:hAnsi="Times New Roman" w:cs="Times New Roman"/>
        </w:rPr>
        <w:t xml:space="preserve"> </w:t>
      </w:r>
      <w:r>
        <w:rPr>
          <w:rFonts w:ascii="Times New Roman" w:hAnsi="Times New Roman" w:cs="Times New Roman"/>
        </w:rPr>
        <w:t xml:space="preserve">—</w:t>
      </w:r>
      <w:r>
        <w:rPr>
          <w:rFonts w:ascii="Times New Roman" w:hAnsi="Times New Roman" w:cs="Times New Roman"/>
        </w:rPr>
        <w:t xml:space="preserve">.</w:t>
      </w:r>
      <w:r>
        <w:rPr>
          <w:rStyle w:val="FootnoteReference"/>
          <w:rFonts w:ascii="Times New Roman" w:hAnsi="Times New Roman" w:cs="Times New Roman"/>
        </w:rPr>
        <w:footnoteReference w:id="56"/>
      </w:r>
    </w:p>
    <w:p w:rsidRPr="002162E0" w:rsidR="006E6407" w:rsidP="00D33081" w:rsidRDefault="006E6407" w14:paraId="396F76D9" w14:textId="77777777">
      <w:pPr>
        <w:rPr>
          <w:rFonts w:ascii="Times New Roman" w:hAnsi="Times New Roman" w:cs="Times New Roman"/>
        </w:rPr>
      </w:pPr>
    </w:p>
    <w:p w:rsidRPr="002162E0" w:rsidR="00A84BBC" w:rsidP="006E6407" w:rsidRDefault="006E6407" w14:paraId="0AF07A86" w14:textId="6414AC95">
      <w:pPr>
        <w:ind w:firstLine="720"/>
        <w:rPr>
          <w:rFonts w:ascii="Times New Roman" w:hAnsi="Times New Roman" w:cs="Times New Roman"/>
        </w:rPr>
      </w:pPr>
      <w:r>
        <w:rPr>
          <w:rFonts w:ascii="Times New Roman" w:hAnsi="Times New Roman" w:cs="Times New Roman"/>
        </w:rPr>
        <w:t xml:space="preserve">Sin embargo, la aspiración hacia una codificación maestra va en contra de las premisas fundamentales originales de ordenación de la cadena de bloques: un poder autónomo, democrático y disperso que, idealmente, reproduce en forma física la ausencia de coordinación o control por parte de cualquier fuente externa a sí misma. Los «Códigos de los Códigos», desde este punto de vista, solo pueden funcionar dentro de un colectivo específico de la cadena de bloques y únicamente en la medida en que los miembros del colectivo estén de acuerdo. Aquí uno podría encontrar los sistemas de </w:t>
      </w:r>
      <w:r>
        <w:rPr>
          <w:rFonts w:ascii="Times New Roman" w:hAnsi="Times New Roman" w:cs="Times New Roman"/>
        </w:rPr>
        <w:t>gobierno</w:t>
      </w:r>
      <w:r>
        <w:rPr>
          <w:rFonts w:ascii="Times New Roman" w:hAnsi="Times New Roman" w:cs="Times New Roman"/>
        </w:rPr>
        <w:t xml:space="preserve"> del </w:t>
      </w:r>
      <w:r>
        <w:rPr>
          <w:rFonts w:ascii="Times New Roman" w:hAnsi="Times New Roman" w:cs="Times New Roman"/>
        </w:rPr>
        <w:t>código</w:t>
      </w:r>
      <w:r>
        <w:rPr>
          <w:rFonts w:ascii="Times New Roman" w:hAnsi="Times New Roman" w:cs="Times New Roman"/>
        </w:rPr>
        <w:t xml:space="preserve"> de la cadena de bloques como el ejemplo casi perfecto de un sistema anárquico ordenado: orden sin un centro. Ese orden se derivaría del impulso mimético de la gobernanza entre colectivos con características afines, cada uno de los cuales contribuye a un conjunto de expectativas que no están ligadas a </w:t>
      </w:r>
      <w:r>
        <w:rPr>
          <w:rFonts w:ascii="Times New Roman" w:hAnsi="Times New Roman" w:cs="Times New Roman"/>
        </w:rPr>
        <w:t>reglas</w:t>
      </w:r>
      <w:r>
        <w:rPr>
          <w:rFonts w:ascii="Times New Roman" w:hAnsi="Times New Roman" w:cs="Times New Roman"/>
        </w:rPr>
        <w:t xml:space="preserve"> del </w:t>
      </w:r>
      <w:r>
        <w:rPr>
          <w:rFonts w:ascii="Times New Roman" w:hAnsi="Times New Roman" w:cs="Times New Roman"/>
        </w:rPr>
        <w:t>código</w:t>
      </w:r>
      <w:r>
        <w:rPr>
          <w:rFonts w:ascii="Times New Roman" w:hAnsi="Times New Roman" w:cs="Times New Roman"/>
        </w:rPr>
        <w:t xml:space="preserve">, sino a historias de práctica. Fieles a su naturaleza de autonomía y difusión del control, los sistemas de gobernanza de blockchain pueden girar de manera autónoma en torno a un espacio que, por su vacuidad, proporciona una estructura para ordenarse a su alrededor; es vacío en este sentido y constituye un núcleo ordenador de valores y expectativas. Aquí se podría discernir una manifestación a través de la acción agregada a lo largo de las transacciones, de cuyo conjunto se podría extraer un valor colectivo; en esencia, una </w:t>
      </w:r>
      <w:r>
        <w:rPr>
          <w:rFonts w:ascii="Times New Roman" w:hAnsi="Times New Roman" w:cs="Times New Roman"/>
          <w:i/>
          <w:iCs/>
        </w:rPr>
        <w:t xml:space="preserve">normatividad fenomenológica </w:t>
      </w:r>
      <w:r>
        <w:rPr>
          <w:rFonts w:ascii="Times New Roman" w:hAnsi="Times New Roman" w:cs="Times New Roman"/>
        </w:rPr>
        <w:t xml:space="preserve">que, por su funcionamiento, se resiste a cualquier codificación dominante, es decir, a cualquier llenado del espacio alrededor del cual giran.</w:t>
      </w:r>
      <w:r>
        <w:rPr>
          <w:rStyle w:val="FootnoteReference"/>
          <w:rFonts w:ascii="Times New Roman" w:hAnsi="Times New Roman" w:cs="Times New Roman"/>
        </w:rPr>
        <w:footnoteReference w:id="57"/>
      </w:r>
    </w:p>
    <w:p w:rsidRPr="002162E0" w:rsidR="00A84BBC" w:rsidP="00D33081" w:rsidRDefault="00A84BBC" w14:paraId="7B08DCA4" w14:textId="77777777">
      <w:pPr>
        <w:rPr>
          <w:rFonts w:ascii="Times New Roman" w:hAnsi="Times New Roman" w:cs="Times New Roman"/>
        </w:rPr>
      </w:pPr>
    </w:p>
    <w:p w:rsidRPr="002162E0" w:rsidR="00B81630" w:rsidP="00D33081" w:rsidRDefault="00062B76" w14:paraId="3CCC0186" w14:textId="082DC6F8">
      <w:pPr>
        <w:rPr>
          <w:rFonts w:ascii="Times New Roman" w:hAnsi="Times New Roman" w:cs="Times New Roman"/>
        </w:rPr>
      </w:pPr>
      <w:r>
        <w:rPr>
          <w:rFonts w:ascii="Times New Roman" w:hAnsi="Times New Roman" w:cs="Times New Roman"/>
          <w:i/>
          <w:iCs/>
        </w:rPr>
        <w:t xml:space="preserve">B. Cuestiones de sesgo</w:t>
      </w:r>
      <w:r>
        <w:rPr>
          <w:rFonts w:ascii="Times New Roman" w:hAnsi="Times New Roman" w:cs="Times New Roman"/>
        </w:rPr>
        <w:t xml:space="preserve">. El sesgo es un concepto de moda. Pero se basa en al menos dos suposiciones falsas: la primera es que es posible eliminar el sesgo de los sistemas virtuales y codificados; la segunda es que esta eliminación del sesgo imita de alguna manera lo «mejor» de la experiencia analógica. Sin embargo, la base fundamental de la organización social es el sesgo, y la distribución de este sesgo entre un espectro de categorías, desde los sesgos que se celebran y privilegian (p. ej., la igualdad), hasta los sesgos que deben suprimirse (p. ej., el racismo). No obstante, incluso si uno aceptara el sesgo, existe un sesgo adicional que se perpetúa tanto en la temporalidad de la cadena de bloques como en la regulación humana: la tendencia a dotar a un concepto y a una palabra de sistemas de valores bastante distintos</w:t>
      </w:r>
      <w:r>
        <w:rPr>
          <w:rFonts w:ascii="Times New Roman" w:hAnsi="Times New Roman" w:cs="Times New Roman"/>
        </w:rPr>
        <w:lastRenderedPageBreak/>
      </w:r>
      <w:r>
        <w:rPr>
          <w:rFonts w:ascii="Times New Roman" w:hAnsi="Times New Roman" w:cs="Times New Roman"/>
        </w:rPr>
        <w:t xml:space="preserve"> a lo largo del tiempo. Por ejemplo: tanto el </w:t>
      </w:r>
      <w:r>
        <w:rPr>
          <w:rFonts w:ascii="Times New Roman" w:hAnsi="Times New Roman" w:cs="Times New Roman"/>
        </w:rPr>
        <w:t>siglo XVIII como el XXI celebran</w:t>
      </w:r>
      <w:r>
        <w:rPr>
          <w:rFonts w:ascii="Times New Roman" w:hAnsi="Times New Roman" w:cs="Times New Roman"/>
        </w:rPr>
        <w:t xml:space="preserve"> la igualdad. Pero el primero entendía la igualdad como algo inherente a la división de la sociedad en un número significativo de formas que producen jerarquías sociales, políticas y económicas, mientras que el </w:t>
      </w:r>
      <w:r>
        <w:rPr>
          <w:rFonts w:ascii="Times New Roman" w:hAnsi="Times New Roman" w:cs="Times New Roman"/>
        </w:rPr>
        <w:t>siglo XXI dota</w:t>
      </w:r>
      <w:r>
        <w:rPr>
          <w:rFonts w:ascii="Times New Roman" w:hAnsi="Times New Roman" w:cs="Times New Roman"/>
        </w:rPr>
        <w:t xml:space="preserve"> al término de una sensibilidad de ordenamiento diferente. La programación de la cadena de bloques puede encontrar desafiante esta progresión temporal; o bien, la propia naturaleza de los bloques temporales e iterativos puede permitir en sí misma una programación que extraiga (y, eventualmente, anticipe) patrones hermenéuticos</w:t>
      </w:r>
      <w:r>
        <w:rPr>
          <w:rFonts w:ascii="Times New Roman" w:hAnsi="Times New Roman" w:cs="Times New Roman"/>
        </w:rPr>
        <w:t xml:space="preserve">.</w:t>
      </w:r>
      <w:r>
        <w:rPr>
          <w:rFonts w:ascii="Times New Roman" w:hAnsi="Times New Roman" w:cs="Times New Roman"/>
        </w:rPr>
        <w:t xml:space="preserve"> O tal vez lo encuentre irresistible en forma de la llamada descontextualización</w:t>
      </w:r>
      <w:r>
        <w:rPr>
          <w:rStyle w:val="FootnoteReference"/>
          <w:rFonts w:ascii="Times New Roman" w:hAnsi="Times New Roman" w:cs="Times New Roman"/>
        </w:rPr>
        <w:footnoteReference w:id="58"/>
      </w:r>
      <w:r>
        <w:rPr>
          <w:rFonts w:ascii="Times New Roman" w:hAnsi="Times New Roman" w:cs="Times New Roman"/>
        </w:rPr>
        <w:t xml:space="preserve"> ; en esencia, el esfuerzo de la inteligencia </w:t>
      </w:r>
      <w:r>
        <w:rPr>
          <w:rFonts w:ascii="Times New Roman" w:hAnsi="Times New Roman" w:cs="Times New Roman"/>
        </w:rPr>
        <w:t>de máquina</w:t>
      </w:r>
      <w:r>
        <w:rPr>
          <w:rFonts w:ascii="Times New Roman" w:hAnsi="Times New Roman" w:cs="Times New Roman"/>
        </w:rPr>
        <w:t xml:space="preserve"> por imitar la deriva normativa bien evidenciada en los datos de la acción humana con los que ha sido alimentada. Y luego está la gran y bestial tentación: utilizar el poder de la predicción de patrones para tratar de controlar el flujo de maneras que convengan a quienes tienen el poder de inmiscuirse en el proceso.</w:t>
      </w:r>
      <w:r>
        <w:rPr>
          <w:rStyle w:val="FootnoteReference"/>
          <w:rFonts w:ascii="Times New Roman" w:hAnsi="Times New Roman" w:cs="Times New Roman"/>
        </w:rPr>
        <w:footnoteReference w:id="59"/>
      </w:r>
      <w:r>
        <w:rPr>
          <w:rFonts w:ascii="Times New Roman" w:hAnsi="Times New Roman" w:cs="Times New Roman"/>
        </w:rPr>
        <w:t xml:space="preserve"> Todo esto, entonces, codifica la esencia de lo humano —demasiado humano— en sus sistemas de máquinas.</w:t>
      </w:r>
    </w:p>
    <w:p w:rsidRPr="002162E0" w:rsidR="00062B76" w:rsidP="00D33081" w:rsidRDefault="00062B76" w14:paraId="5AB80B89" w14:textId="77777777">
      <w:pPr>
        <w:rPr>
          <w:rFonts w:ascii="Times New Roman" w:hAnsi="Times New Roman" w:cs="Times New Roman"/>
        </w:rPr>
      </w:pPr>
    </w:p>
    <w:p w:rsidRPr="002162E0" w:rsidR="00062B76" w:rsidP="00D33081" w:rsidRDefault="00062B76" w14:paraId="3D9FCBEF" w14:textId="10EAA6BA">
      <w:pPr>
        <w:rPr>
          <w:rFonts w:ascii="Times New Roman" w:hAnsi="Times New Roman" w:cs="Times New Roman"/>
        </w:rPr>
      </w:pPr>
      <w:r>
        <w:rPr>
          <w:rFonts w:ascii="Times New Roman" w:hAnsi="Times New Roman" w:cs="Times New Roman"/>
          <w:i/>
          <w:iCs/>
        </w:rPr>
        <w:t xml:space="preserve">C. Control de calidad</w:t>
      </w:r>
      <w:r>
        <w:rPr>
          <w:rFonts w:ascii="Times New Roman" w:hAnsi="Times New Roman" w:cs="Times New Roman"/>
        </w:rPr>
        <w:t xml:space="preserve">. La descentralización inherente a la cadena de bloques plantea desafíos en materia de rendición de cuentas. Esto se aplica en tres contextos: el primero se refiere a la asignación de responsabilidad —¿a los programadores?; a los operadores; a los administradores de nodos; a los generadores de transacciones aptas para el libro mayor?—; el segundo se refiere a la naturaleza de la responsabilidad —¿programar «bien»?; supervisar la puesta en marcha y la funcionalidad de la programación (en contraposición a qué criterio, lo cual es una cuestión secundaria). El tercero consiste en gestionar el dominio de la turba en los nodos, o su opuesto: el veto estratégico. En los sistemas anárquicos, el poder supremo consiste en salir de una cadena de bloques con lo que uno tiene, si es posible.</w:t>
      </w:r>
    </w:p>
    <w:p w:rsidRPr="002162E0" w:rsidR="004F0C91" w:rsidP="00D33081" w:rsidRDefault="004F0C91" w14:paraId="59A2DF8F" w14:textId="77777777">
      <w:pPr>
        <w:rPr>
          <w:rFonts w:ascii="Times New Roman" w:hAnsi="Times New Roman" w:cs="Times New Roman"/>
        </w:rPr>
      </w:pPr>
    </w:p>
    <w:p w:rsidRPr="002162E0" w:rsidR="008355B1" w:rsidP="00D33081" w:rsidRDefault="000F1D7F" w14:paraId="585CB902" w14:textId="19F4AF1F">
      <w:pPr>
        <w:rPr>
          <w:rFonts w:ascii="Times New Roman" w:hAnsi="Times New Roman" w:cs="Times New Roman"/>
        </w:rPr>
      </w:pPr>
      <w:r>
        <w:rPr>
          <w:rFonts w:ascii="Times New Roman" w:hAnsi="Times New Roman" w:cs="Times New Roman"/>
        </w:rPr>
        <w:t xml:space="preserve">IV. La importancia del </w:t>
      </w:r>
      <w:r>
        <w:t>gobierno</w:t>
      </w:r>
      <w:r>
        <w:rPr>
          <w:rFonts w:ascii="Times New Roman" w:hAnsi="Times New Roman" w:cs="Times New Roman"/>
        </w:rPr>
        <w:t xml:space="preserve"> del </w:t>
      </w:r>
      <w:r>
        <w:t>código</w:t>
      </w:r>
      <w:r>
        <w:rPr>
          <w:rFonts w:ascii="Times New Roman" w:hAnsi="Times New Roman" w:cs="Times New Roman"/>
        </w:rPr>
        <w:t xml:space="preserve"> para la legitimidad de los sistemas de cadena de bloques.</w:t>
      </w:r>
    </w:p>
    <w:p w:rsidRPr="002162E0" w:rsidR="000B6376" w:rsidP="00D33081" w:rsidRDefault="000B6376" w14:paraId="7A6DD12B" w14:textId="77777777">
      <w:pPr>
        <w:rPr>
          <w:rFonts w:ascii="Times New Roman" w:hAnsi="Times New Roman" w:cs="Times New Roman"/>
        </w:rPr>
      </w:pPr>
    </w:p>
    <w:p w:rsidRPr="002162E0" w:rsidR="00843294" w:rsidP="006340FC" w:rsidRDefault="009C631F" w14:paraId="70C193D1" w14:textId="1143A2E4">
      <w:pPr>
        <w:ind w:firstLine="720"/>
        <w:rPr>
          <w:rFonts w:ascii="Times New Roman" w:hAnsi="Times New Roman" w:cs="Times New Roman"/>
        </w:rPr>
      </w:pPr>
      <w:r>
        <w:rPr>
          <w:rFonts w:ascii="Times New Roman" w:hAnsi="Times New Roman" w:cs="Times New Roman"/>
        </w:rPr>
        <w:t xml:space="preserve">Los sistemas de cadena de bloques operan únicamente en función de la integridad del </w:t>
      </w:r>
      <w:r>
        <w:rPr>
          <w:rFonts w:ascii="Times New Roman" w:hAnsi="Times New Roman" w:cs="Times New Roman"/>
        </w:rPr>
        <w:t>gobierno</w:t>
      </w:r>
      <w:r>
        <w:rPr>
          <w:rFonts w:ascii="Times New Roman" w:hAnsi="Times New Roman" w:cs="Times New Roman"/>
        </w:rPr>
        <w:t xml:space="preserve"> del </w:t>
      </w:r>
      <w:r>
        <w:rPr>
          <w:rFonts w:ascii="Times New Roman" w:hAnsi="Times New Roman" w:cs="Times New Roman"/>
        </w:rPr>
        <w:t>código</w:t>
      </w:r>
      <w:r>
        <w:rPr>
          <w:rFonts w:ascii="Times New Roman" w:hAnsi="Times New Roman" w:cs="Times New Roman"/>
        </w:rPr>
        <w:t>.</w:t>
      </w:r>
      <w:r>
        <w:rPr>
          <w:rStyle w:val="FootnoteReference"/>
          <w:rFonts w:ascii="Times New Roman" w:hAnsi="Times New Roman" w:cs="Times New Roman"/>
        </w:rPr>
        <w:footnoteReference w:id="60"/>
      </w:r>
      <w:r>
        <w:rPr>
          <w:rFonts w:ascii="Times New Roman" w:hAnsi="Times New Roman" w:cs="Times New Roman"/>
        </w:rPr>
        <w:t xml:space="preserve"> Eso</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al menos, es seguro</w:t>
      </w:r>
      <w:r>
        <w:rPr>
          <w:rFonts w:ascii="Times New Roman" w:hAnsi="Times New Roman" w:cs="Times New Roman"/>
        </w:rPr>
        <w:t xml:space="preserve">, y se distingue de la literatura emergente sobre el </w:t>
      </w:r>
      <w:r>
        <w:rPr>
          <w:rFonts w:ascii="Times New Roman" w:hAnsi="Times New Roman" w:cs="Times New Roman"/>
        </w:rPr>
        <w:t>gobierno</w:t>
      </w:r>
      <w:r>
        <w:rPr>
          <w:rFonts w:ascii="Times New Roman" w:hAnsi="Times New Roman" w:cs="Times New Roman"/>
        </w:rPr>
        <w:t xml:space="preserve"> por </w:t>
      </w:r>
      <w:r>
        <w:rPr>
          <w:rFonts w:ascii="Times New Roman" w:hAnsi="Times New Roman" w:cs="Times New Roman"/>
        </w:rPr>
        <w:t>código</w:t>
      </w:r>
      <w:r>
        <w:rPr>
          <w:rFonts w:ascii="Times New Roman" w:hAnsi="Times New Roman" w:cs="Times New Roman"/>
        </w:rPr>
        <w:t>.</w:t>
      </w:r>
      <w:r>
        <w:rPr>
          <w:rStyle w:val="FootnoteReference"/>
          <w:rFonts w:ascii="Times New Roman" w:hAnsi="Times New Roman" w:cs="Times New Roman"/>
        </w:rPr>
        <w:footnoteReference w:id="61"/>
      </w:r>
      <w:r>
        <w:rPr>
          <w:rFonts w:ascii="Times New Roman" w:hAnsi="Times New Roman" w:cs="Times New Roman"/>
        </w:rPr>
        <w:t xml:space="preserve"> También debe distinguirse de </w:t>
      </w:r>
      <w:r>
        <w:rPr>
          <w:rFonts w:ascii="Times New Roman" w:hAnsi="Times New Roman" w:cs="Times New Roman"/>
          <w:i/>
          <w:iCs/>
        </w:rPr>
        <w:t xml:space="preserve">las </w:t>
      </w:r>
      <w:r>
        <w:rPr>
          <w:rFonts w:ascii="Times New Roman" w:hAnsi="Times New Roman" w:cs="Times New Roman"/>
          <w:i/>
          <w:iCs/>
        </w:rPr>
        <w:t>reglas</w:t>
      </w:r>
      <w:r>
        <w:rPr>
          <w:rFonts w:ascii="Times New Roman" w:hAnsi="Times New Roman" w:cs="Times New Roman"/>
          <w:i/>
          <w:iCs/>
        </w:rPr>
        <w:t xml:space="preserve"> como </w:t>
      </w:r>
      <w:r>
        <w:rPr>
          <w:rFonts w:ascii="Times New Roman" w:hAnsi="Times New Roman" w:cs="Times New Roman"/>
          <w:i/>
          <w:iCs/>
        </w:rPr>
        <w:t>código</w:t>
      </w:r>
      <w:r>
        <w:rPr>
          <w:rFonts w:ascii="Times New Roman" w:hAnsi="Times New Roman" w:cs="Times New Roman"/>
        </w:rPr>
        <w:t>.</w:t>
      </w:r>
      <w:r>
        <w:rPr>
          <w:rStyle w:val="FootnoteReference"/>
          <w:rFonts w:ascii="Times New Roman" w:hAnsi="Times New Roman" w:cs="Times New Roman"/>
        </w:rPr>
        <w:footnoteReference w:id="62"/>
      </w:r>
      <w:r>
        <w:rPr>
          <w:rFonts w:ascii="Times New Roman" w:hAnsi="Times New Roman" w:cs="Times New Roman"/>
        </w:rPr>
        <w:t xml:space="preserve"> No obstante, y tal vez precisamente debido a las nociones relacionadas de </w:t>
      </w:r>
      <w:r>
        <w:rPr>
          <w:rFonts w:ascii="Times New Roman" w:hAnsi="Times New Roman" w:cs="Times New Roman"/>
        </w:rPr>
        <w:t>gobierno</w:t>
      </w:r>
      <w:r>
        <w:rPr>
          <w:rFonts w:ascii="Times New Roman" w:hAnsi="Times New Roman" w:cs="Times New Roman"/>
        </w:rPr>
        <w:t xml:space="preserve"> por </w:t>
      </w:r>
      <w:r>
        <w:rPr>
          <w:rFonts w:ascii="Times New Roman" w:hAnsi="Times New Roman" w:cs="Times New Roman"/>
        </w:rPr>
        <w:t>código</w:t>
      </w:r>
      <w:r>
        <w:rPr>
          <w:rFonts w:ascii="Times New Roman" w:hAnsi="Times New Roman" w:cs="Times New Roman"/>
        </w:rPr>
        <w:t xml:space="preserve"> y </w:t>
      </w:r>
      <w:r>
        <w:rPr>
          <w:rFonts w:ascii="Times New Roman" w:hAnsi="Times New Roman" w:cs="Times New Roman"/>
        </w:rPr>
        <w:t>reglas</w:t>
      </w:r>
      <w:r>
        <w:rPr>
          <w:rFonts w:ascii="Times New Roman" w:hAnsi="Times New Roman" w:cs="Times New Roman"/>
        </w:rPr>
        <w:t xml:space="preserve"> como </w:t>
      </w:r>
      <w:r>
        <w:rPr>
          <w:rFonts w:ascii="Times New Roman" w:hAnsi="Times New Roman" w:cs="Times New Roman"/>
        </w:rPr>
        <w:t>código</w:t>
      </w:r>
      <w:r>
        <w:rPr>
          <w:rFonts w:ascii="Times New Roman" w:hAnsi="Times New Roman" w:cs="Times New Roman"/>
        </w:rPr>
        <w:t xml:space="preserve">, se deduce de un paralelismo rudimentario con los sistemas regulatorios que, a su vez, operan de manera autoritaria en función de la integridad del </w:t>
      </w:r>
      <w:r>
        <w:rPr>
          <w:rFonts w:ascii="Times New Roman" w:hAnsi="Times New Roman" w:cs="Times New Roman"/>
        </w:rPr>
        <w:t>Estado</w:t>
      </w:r>
      <w:r>
        <w:rPr>
          <w:rFonts w:ascii="Times New Roman" w:hAnsi="Times New Roman" w:cs="Times New Roman"/>
        </w:rPr>
        <w:t xml:space="preserve"> de </w:t>
      </w:r>
      <w:r>
        <w:rPr>
          <w:rFonts w:ascii="Times New Roman" w:hAnsi="Times New Roman" w:cs="Times New Roman"/>
        </w:rPr>
        <w:t>derecho</w:t>
      </w:r>
      <w:r>
        <w:rPr>
          <w:rFonts w:ascii="Times New Roman" w:hAnsi="Times New Roman" w:cs="Times New Roman"/>
        </w:rPr>
        <w:t>.</w:t>
      </w:r>
      <w:r>
        <w:rPr>
          <w:rStyle w:val="FootnoteReference"/>
          <w:rFonts w:ascii="Times New Roman" w:hAnsi="Times New Roman" w:cs="Times New Roman"/>
        </w:rPr>
        <w:footnoteReference w:id="63"/>
      </w:r>
      <w:r>
        <w:rPr>
          <w:rFonts w:ascii="Times New Roman" w:hAnsi="Times New Roman" w:cs="Times New Roman"/>
        </w:rPr>
        <w:t xml:space="preserve"> Sin embargo, el desafío surge de la incoherencia de la noción de que existe un lenguaje único dentro del cual se regula la cadena de bloques. Como este artículo ha</w:t>
      </w:r>
      <w:r>
        <w:rPr>
          <w:rFonts w:ascii="Times New Roman" w:hAnsi="Times New Roman" w:cs="Times New Roman"/>
        </w:rPr>
        <w:lastRenderedPageBreak/>
      </w:r>
      <w:r>
        <w:rPr>
          <w:rFonts w:ascii="Times New Roman" w:hAnsi="Times New Roman" w:cs="Times New Roman"/>
        </w:rPr>
        <w:t xml:space="preserve"> sugerido anteriormente, tal vez sea mejor entender el </w:t>
      </w:r>
      <w:r>
        <w:rPr>
          <w:rFonts w:ascii="Times New Roman" w:hAnsi="Times New Roman" w:cs="Times New Roman"/>
        </w:rPr>
        <w:t>gobierno</w:t>
      </w:r>
      <w:r>
        <w:rPr>
          <w:rFonts w:ascii="Times New Roman" w:hAnsi="Times New Roman" w:cs="Times New Roman"/>
        </w:rPr>
        <w:t xml:space="preserve"> del </w:t>
      </w:r>
      <w:r>
        <w:rPr>
          <w:rFonts w:ascii="Times New Roman" w:hAnsi="Times New Roman" w:cs="Times New Roman"/>
        </w:rPr>
        <w:t>código</w:t>
      </w:r>
      <w:r>
        <w:rPr>
          <w:rFonts w:ascii="Times New Roman" w:hAnsi="Times New Roman" w:cs="Times New Roman"/>
        </w:rPr>
        <w:t xml:space="preserve"> como una ecología de lenguajes que se interpenetran infinitamente y que, en conjunto, constituyen la totalidad del «texto» regulatorio del Código. Las interacciones, traducciones, transposiciones, lógicas y manifestaciones del código fuente, el lenguaje de máquina, el código de objetos y el código ejecutable, así como los lenguajes regulatorios transpuestos al código, sugieren un elemento más complejo en la estructuración y la lingüística del </w:t>
      </w:r>
      <w:r>
        <w:rPr>
          <w:rFonts w:ascii="Times New Roman" w:hAnsi="Times New Roman" w:cs="Times New Roman"/>
        </w:rPr>
        <w:t>gobierno</w:t>
      </w:r>
      <w:r>
        <w:rPr>
          <w:rFonts w:ascii="Times New Roman" w:hAnsi="Times New Roman" w:cs="Times New Roman"/>
        </w:rPr>
        <w:t xml:space="preserve"> del </w:t>
      </w:r>
      <w:r>
        <w:rPr>
          <w:rFonts w:ascii="Times New Roman" w:hAnsi="Times New Roman" w:cs="Times New Roman"/>
        </w:rPr>
        <w:t>código</w:t>
      </w:r>
      <w:r>
        <w:rPr>
          <w:rFonts w:ascii="Times New Roman" w:hAnsi="Times New Roman" w:cs="Times New Roman"/>
        </w:rPr>
        <w:t xml:space="preserve">. Aún más interesante es que solo algunos de esos componentes del lenguaje del Código son accesibles para los humanos. Sin embargo, la cuestión de la traducción también se complica —en primer lugar, entre los lenguajes que conforman el diálogo interactivo </w:t>
      </w:r>
      <w:r>
        <w:rPr>
          <w:rFonts w:ascii="Times New Roman" w:hAnsi="Times New Roman" w:cs="Times New Roman"/>
        </w:rPr>
        <w:t>del gobierno</w:t>
      </w:r>
      <w:r>
        <w:rPr>
          <w:rFonts w:ascii="Times New Roman" w:hAnsi="Times New Roman" w:cs="Times New Roman"/>
        </w:rPr>
        <w:t xml:space="preserve"> del </w:t>
      </w:r>
      <w:r>
        <w:rPr>
          <w:rFonts w:ascii="Times New Roman" w:hAnsi="Times New Roman" w:cs="Times New Roman"/>
        </w:rPr>
        <w:t>código—</w:t>
      </w:r>
      <w:r>
        <w:rPr>
          <w:rFonts w:ascii="Times New Roman" w:hAnsi="Times New Roman" w:cs="Times New Roman"/>
        </w:rPr>
        <w:t xml:space="preserve"> y luego entre los lenguajes «demasiado humanos» del </w:t>
      </w:r>
      <w:r>
        <w:rPr>
          <w:rFonts w:ascii="Times New Roman" w:hAnsi="Times New Roman" w:cs="Times New Roman"/>
        </w:rPr>
        <w:t>Estado</w:t>
      </w:r>
      <w:r>
        <w:rPr>
          <w:rFonts w:ascii="Times New Roman" w:hAnsi="Times New Roman" w:cs="Times New Roman"/>
        </w:rPr>
        <w:t xml:space="preserve"> de derecho y las expectativas culturales con y hacia el lenguaje del código.</w:t>
      </w:r>
      <w:r>
        <w:rPr>
          <w:rStyle w:val="FootnoteReference"/>
          <w:rFonts w:ascii="Times New Roman" w:hAnsi="Times New Roman" w:cs="Times New Roman"/>
        </w:rPr>
        <w:footnoteReference w:id="64"/>
      </w:r>
    </w:p>
    <w:p w:rsidRPr="002162E0" w:rsidR="00843294" w:rsidP="00D33081" w:rsidRDefault="00843294" w14:paraId="284ECD0A" w14:textId="77777777">
      <w:pPr>
        <w:rPr>
          <w:rFonts w:ascii="Times New Roman" w:hAnsi="Times New Roman" w:cs="Times New Roman"/>
        </w:rPr>
      </w:pPr>
    </w:p>
    <w:p w:rsidRPr="002162E0" w:rsidR="009C631F" w:rsidP="006340FC" w:rsidRDefault="009C631F" w14:paraId="53C5E43A" w14:textId="5102B23C">
      <w:pPr>
        <w:ind w:firstLine="720"/>
        <w:rPr>
          <w:rFonts w:ascii="Times New Roman" w:hAnsi="Times New Roman" w:cs="Times New Roman"/>
        </w:rPr>
      </w:pPr>
      <w:r>
        <w:rPr>
          <w:rFonts w:ascii="Times New Roman" w:hAnsi="Times New Roman" w:cs="Times New Roman"/>
        </w:rPr>
        <w:t xml:space="preserve">Menos claro es el efecto sobre esa integridad de cualquier tipo de acoplamiento estructural (contaminante) del </w:t>
      </w:r>
      <w:r>
        <w:t>gobierno</w:t>
      </w:r>
      <w:r>
        <w:rPr>
          <w:rFonts w:ascii="Times New Roman" w:hAnsi="Times New Roman" w:cs="Times New Roman"/>
        </w:rPr>
        <w:t xml:space="preserve"> del </w:t>
      </w:r>
      <w:r>
        <w:t>código</w:t>
      </w:r>
      <w:r>
        <w:rPr>
          <w:rFonts w:ascii="Times New Roman" w:hAnsi="Times New Roman" w:cs="Times New Roman"/>
        </w:rPr>
        <w:t>. La cuestión se agudiza aún más con los debates sobre la naturaleza y la función de las medidas regulatorias tradicionales para «gestionar», «controlar» o «civilizar» los sistemas de inteligencia artificial. En Europa, al igual que en otros lugares, se prefiere un análisis basado en el riesgo.</w:t>
      </w:r>
      <w:r>
        <w:rPr>
          <w:rStyle w:val="FootnoteReference"/>
          <w:rFonts w:ascii="Times New Roman" w:hAnsi="Times New Roman" w:cs="Times New Roman"/>
        </w:rPr>
        <w:footnoteReference w:id="65"/>
      </w:r>
      <w:r>
        <w:rPr>
          <w:rFonts w:ascii="Times New Roman" w:hAnsi="Times New Roman" w:cs="Times New Roman"/>
        </w:rPr>
        <w:t xml:space="preserve"> Aquí la idea parece ser que el riesgo para los seres humanos, y para las ideas humanas, debe impulsar un sistema regulatorio impuesto desde afuera. Detrás de esa premisa se encuentra la noción de que, si bien los seres humanos pueden participar en conductas basadas en el riesgo dentro del marco del </w:t>
      </w:r>
      <w:r>
        <w:t>Estado</w:t>
      </w:r>
      <w:r>
        <w:rPr>
          <w:rFonts w:ascii="Times New Roman" w:hAnsi="Times New Roman" w:cs="Times New Roman"/>
        </w:rPr>
        <w:t xml:space="preserve"> de derecho (por ejemplo, el reconocimiento facial, el análisis de emociones y similares), no se debería permitir que las «máquinas» participen en ese mismo tipo de actividades o, peor aún, que mejoren las capacidades de los seres humanos que participan en ese tipo de conductas de riesgo.</w:t>
      </w:r>
    </w:p>
    <w:p w:rsidRPr="002162E0" w:rsidR="00A56785" w:rsidP="00D33081" w:rsidRDefault="00A56785" w14:paraId="036A4FDC" w14:textId="77777777">
      <w:pPr>
        <w:rPr>
          <w:rFonts w:ascii="Times New Roman" w:hAnsi="Times New Roman" w:cs="Times New Roman"/>
        </w:rPr>
      </w:pPr>
    </w:p>
    <w:p w:rsidRPr="002162E0" w:rsidR="00A56785" w:rsidP="001C4178" w:rsidRDefault="00A56785" w14:paraId="5B877BC1" w14:textId="68E5F1E5">
      <w:pPr>
        <w:ind w:firstLine="720"/>
        <w:rPr>
          <w:rFonts w:ascii="Times New Roman" w:hAnsi="Times New Roman" w:cs="Times New Roman"/>
        </w:rPr>
      </w:pPr>
      <w:r>
        <w:rPr>
          <w:rFonts w:ascii="Times New Roman" w:hAnsi="Times New Roman" w:cs="Times New Roman"/>
        </w:rPr>
        <w:t xml:space="preserve">Y, por supuesto, los sistemas de cadena de bloques tienden a privilegiar al sistema en sí mismo y a sus elementos críticos: sus objetos, significantes y los espacios interpretativos que de ellos se derivan. Los factores que privilegian a los seres humanos pueden quedar marginados dentro de estas estructuras. Sin duda, la idea de codificar los derechos humanos, por ejemplo, es una tarea abrumadora;</w:t>
      </w:r>
      <w:r>
        <w:rPr>
          <w:rStyle w:val="FootnoteReference"/>
          <w:rFonts w:ascii="Times New Roman" w:hAnsi="Times New Roman" w:cs="Times New Roman"/>
        </w:rPr>
        <w:footnoteReference w:id="66"/>
      </w:r>
      <w:r>
        <w:rPr>
          <w:rFonts w:ascii="Times New Roman" w:hAnsi="Times New Roman" w:cs="Times New Roman"/>
        </w:rPr>
        <w:t xml:space="preserve"> menos inmenso es el proyecto de codificación «basado en los derechos humanos», uno que toma prestado de su análogo centrado en el ser humano.</w:t>
      </w:r>
      <w:r>
        <w:rPr>
          <w:rStyle w:val="FootnoteReference"/>
          <w:rFonts w:ascii="Times New Roman" w:hAnsi="Times New Roman" w:cs="Times New Roman"/>
        </w:rPr>
        <w:footnoteReference w:id="67"/>
      </w:r>
      <w:r>
        <w:rPr>
          <w:rFonts w:ascii="Times New Roman" w:hAnsi="Times New Roman" w:cs="Times New Roman"/>
        </w:rPr>
        <w:t xml:space="preserve"> En cierto sentido, el proyecto es casi imposible porque los seres humanos en cuyo beneficio se le da prioridad en el Estado de derecho aún no han llegado a ningún tipo de consenso, y, en cualquier caso, ese consenso sería un objetivo en constante cambio.</w:t>
      </w:r>
      <w:r>
        <w:rPr>
          <w:rStyle w:val="FootnoteReference"/>
          <w:rFonts w:ascii="Times New Roman" w:hAnsi="Times New Roman" w:cs="Times New Roman"/>
        </w:rPr>
        <w:footnoteReference w:id="68"/>
      </w:r>
      <w:r>
        <w:rPr>
          <w:rFonts w:ascii="Times New Roman" w:hAnsi="Times New Roman" w:cs="Times New Roman"/>
        </w:rPr>
        <w:t xml:space="preserve"> Por otro lado, la transposición de los derechos humanos, por ejemplo, al entorno de la cadena de bloques sería un reto. En primer lugar, es necesario abordar la cuestión de la ubicación</w:t>
      </w:r>
      <w:r>
        <w:rPr>
          <w:rFonts w:ascii="Times New Roman" w:hAnsi="Times New Roman" w:cs="Times New Roman"/>
        </w:rPr>
        <w:t xml:space="preserve">: ¿</w:t>
      </w:r>
      <w:r>
        <w:rPr>
          <w:rFonts w:ascii="Times New Roman" w:hAnsi="Times New Roman" w:cs="Times New Roman"/>
        </w:rPr>
        <w:t xml:space="preserve">debe integrarse en la constitución de la </w:t>
      </w:r>
      <w:r>
        <w:rPr>
          <w:rFonts w:ascii="Times New Roman" w:hAnsi="Times New Roman" w:cs="Times New Roman"/>
        </w:rPr>
        <w:t xml:space="preserve">transacción </w:t>
      </w:r>
      <w:r>
        <w:rPr>
          <w:rFonts w:ascii="Times New Roman" w:hAnsi="Times New Roman" w:cs="Times New Roman"/>
        </w:rPr>
        <w:t xml:space="preserve">registrada en el libro mayor</w:t>
      </w:r>
      <w:r>
        <w:rPr>
          <w:rFonts w:ascii="Times New Roman" w:hAnsi="Times New Roman" w:cs="Times New Roman"/>
        </w:rPr>
        <w:t xml:space="preserve">; o en el bloque, o en las transacciones que generan bloques adicionales? ¿Son los bloques en sí mismos objeto de derechos humanos o solo su contenido? ¿Es el proceso al que se dedica la cadena de bloques objeto de análisis de derechos y, de ser así, cómo se miden los impactos adversos sobre los derechos humanos ante las múltiples e inconsistentes interpretaciones de los derechos humanos en el espacio cognitivo humano? Y así sucesivamente. Pero tal vez el mayor problema, tanto para los humanos como para las máquinas —y que se intensifica en la dinámica interactiva de la conectividad entre humanos y máquinas— sea el de </w:t>
      </w:r>
      <w:r>
        <w:rPr>
          <w:rFonts w:ascii="Times New Roman" w:hAnsi="Times New Roman" w:cs="Times New Roman"/>
        </w:rPr>
        <w:t xml:space="preserve">una </w:t>
      </w:r>
      <w:r>
        <w:rPr>
          <w:rFonts w:ascii="Times New Roman" w:hAnsi="Times New Roman" w:cs="Times New Roman"/>
        </w:rPr>
        <w:lastRenderedPageBreak/>
      </w:r>
      <w:r>
        <w:t>homeostasis</w:t>
      </w:r>
      <w:r>
        <w:rPr>
          <w:rFonts w:ascii="Times New Roman" w:hAnsi="Times New Roman" w:cs="Times New Roman"/>
        </w:rPr>
        <w:t xml:space="preserve"> y los riesgos consiguientes de rigidez que alejan al sistema de las realidades tanto de </w:t>
      </w:r>
      <w:r>
        <w:t>la máquina</w:t>
      </w:r>
      <w:r>
        <w:rPr>
          <w:rFonts w:ascii="Times New Roman" w:hAnsi="Times New Roman" w:cs="Times New Roman"/>
        </w:rPr>
        <w:t xml:space="preserve"> como de lo humano, así como la decadencia que surge a causa de ese distanciamiento.</w:t>
      </w:r>
      <w:r>
        <w:rPr>
          <w:rStyle w:val="FootnoteReference"/>
          <w:rFonts w:ascii="Times New Roman" w:hAnsi="Times New Roman" w:cs="Times New Roman"/>
        </w:rPr>
        <w:footnoteReference w:id="69"/>
      </w:r>
    </w:p>
    <w:p w:rsidRPr="002162E0" w:rsidR="005672CE" w:rsidP="00D33081" w:rsidRDefault="005672CE" w14:paraId="521F0FBC" w14:textId="77777777">
      <w:pPr>
        <w:rPr>
          <w:rFonts w:ascii="Times New Roman" w:hAnsi="Times New Roman" w:cs="Times New Roman"/>
        </w:rPr>
      </w:pPr>
    </w:p>
    <w:p w:rsidRPr="009A4AD1" w:rsidR="005672CE" w:rsidP="006340FC" w:rsidRDefault="005672CE" w14:paraId="2B0AD19A" w14:textId="5C5C637D">
      <w:pPr>
        <w:ind w:firstLine="720"/>
        <w:rPr>
          <w:rFonts w:ascii="Times New Roman" w:hAnsi="Times New Roman" w:cs="Times New Roman"/>
          <w:lang w:eastAsia="zh-TW"/>
        </w:rPr>
      </w:pPr>
      <w:r>
        <w:rPr>
          <w:rFonts w:ascii="Times New Roman" w:hAnsi="Times New Roman" w:cs="Times New Roman"/>
        </w:rPr>
        <w:t xml:space="preserve">No obstante, es importante distinguir entre, por un lado, la centralidad de la codificación y los lenguajes de codificación que se interpenetran —el de las máquinas y el humano— para la constitución y el funcionamiento de la cadena de bloques, y, por otro, los incentivos regulatorios en torno a la cadena de bloques, especialmente dado que esta se acopla estructuralmente con otros subsistemas humanos y virtuales. Es muy posible que la regulación interna de la cadena de bloques esté codificada de manera autorreferencial y dentro de la lógica y los principios de sus propias racionalidades, descritas anteriormente. Sin embargo, sus efectos no lo están.</w:t>
      </w:r>
      <w:r>
        <w:rPr>
          <w:rStyle w:val="FootnoteReference"/>
          <w:rFonts w:ascii="Times New Roman" w:hAnsi="Times New Roman" w:cs="Times New Roman"/>
        </w:rPr>
        <w:footnoteReference w:id="70"/>
      </w:r>
      <w:r>
        <w:rPr>
          <w:rFonts w:ascii="Times New Roman" w:hAnsi="Times New Roman" w:cs="Times New Roman"/>
        </w:rPr>
        <w:t xml:space="preserve"> Es en ese espacio de «efectos», proyectados fuera de la cadena de bloques, donde bien podría ser necesario desarrollar sistemas de legalidad codificada, algo que requiere una investigación sustancial que aún no se ha materializado con gran eficacia. Aquí habrá que desarrollar teorías </w:t>
      </w:r>
      <w:r>
        <w:rPr>
          <w:rFonts w:ascii="Times New Roman" w:hAnsi="Times New Roman" w:cs="Times New Roman"/>
        </w:rPr>
        <w:t>de un derecho</w:t>
      </w:r>
      <w:r>
        <w:rPr>
          <w:rFonts w:ascii="Times New Roman" w:hAnsi="Times New Roman" w:cs="Times New Roman"/>
        </w:rPr>
        <w:t xml:space="preserve"> puente </w:t>
      </w:r>
      <w:r>
        <w:rPr>
          <w:rFonts w:ascii="Times New Roman" w:hAnsi="Times New Roman" w:cs="Times New Roman"/>
        </w:rPr>
        <w:t>y de un</w:t>
      </w:r>
      <w:r>
        <w:rPr>
          <w:rFonts w:ascii="Times New Roman" w:hAnsi="Times New Roman" w:cs="Times New Roman"/>
        </w:rPr>
        <w:t xml:space="preserve"> lenguaje</w:t>
      </w:r>
      <w:r>
        <w:rPr>
          <w:rFonts w:ascii="Times New Roman" w:hAnsi="Times New Roman" w:cs="Times New Roman"/>
        </w:rPr>
        <w:t xml:space="preserve"> </w:t>
      </w:r>
      <w:r>
        <w:rPr>
          <w:rFonts w:ascii="Times New Roman" w:hAnsi="Times New Roman" w:cs="Times New Roman"/>
        </w:rPr>
        <w:t>puente</w:t>
      </w:r>
      <w:r>
        <w:rPr>
          <w:rFonts w:ascii="Times New Roman" w:hAnsi="Times New Roman" w:cs="Times New Roman"/>
        </w:rPr>
        <w:t xml:space="preserve"> que se proyecten en ambas direcciones simultáneamente. Y, por último, la integridad de la cadena de bloques bien podría estar separada de la integridad de los sistemas físicos sobre los que no tiene efectos —o bien podría servir como modelo para derrocar el reinado </w:t>
      </w:r>
      <w:r>
        <w:rPr>
          <w:rFonts w:ascii="Times New Roman" w:hAnsi="Times New Roman" w:cs="Times New Roman"/>
        </w:rPr>
        <w:t>del derecho físico</w:t>
      </w:r>
      <w:r>
        <w:rPr>
          <w:rFonts w:ascii="Times New Roman" w:hAnsi="Times New Roman" w:cs="Times New Roman"/>
        </w:rPr>
        <w:t xml:space="preserve"> tradicional a favor de una nueva </w:t>
      </w:r>
      <w:r>
        <w:rPr>
          <w:rFonts w:ascii="Times New Roman" w:hAnsi="Times New Roman" w:cs="Times New Roman"/>
          <w:i/>
          <w:iCs/>
        </w:rPr>
        <w:t xml:space="preserve">biopolítica de tipo criptográfico</w:t>
      </w:r>
      <w:r>
        <w:rPr>
          <w:rFonts w:ascii="Times New Roman" w:hAnsi="Times New Roman" w:cs="Times New Roman"/>
        </w:rPr>
        <w:t xml:space="preserve">.</w:t>
      </w:r>
      <w:r>
        <w:rPr>
          <w:rStyle w:val="FootnoteReference"/>
          <w:rFonts w:ascii="Times New Roman" w:hAnsi="Times New Roman" w:cs="Times New Roman"/>
        </w:rPr>
        <w:footnoteReference w:id="71"/>
      </w:r>
      <w:r>
        <w:rPr>
          <w:rFonts w:ascii="Times New Roman" w:hAnsi="Times New Roman" w:cs="Times New Roman"/>
        </w:rPr>
        <w:t xml:space="preserve"> Y con ello, una nueva forma de política, una integrada en las mismas estructuras de su codificación que adquieren una política propia, una que permite a las máquinas funcionar sin mucha intervención, al tiempo que permite la intervención humana para aprovechar las estructuras codificadas de sus operaciones.</w:t>
      </w:r>
      <w:r>
        <w:rPr>
          <w:rStyle w:val="FootnoteReference"/>
          <w:rFonts w:ascii="Times New Roman" w:hAnsi="Times New Roman" w:cs="Times New Roman"/>
        </w:rPr>
        <w:footnoteReference w:id="72"/>
      </w:r>
    </w:p>
    <w:p w:rsidR="00F15025" w:rsidP="006340FC" w:rsidRDefault="00F15025" w14:paraId="0152E752" w14:textId="77777777">
      <w:pPr>
        <w:ind w:firstLine="720"/>
        <w:rPr>
          <w:rFonts w:ascii="Times New Roman" w:hAnsi="Times New Roman" w:cs="Times New Roman"/>
        </w:rPr>
      </w:pPr>
    </w:p>
    <w:p w:rsidRPr="00F15025" w:rsidR="00F15025" w:rsidP="00F15025" w:rsidRDefault="00F15025" w14:paraId="7672F326" w14:textId="77777777">
      <w:pPr>
        <w:ind w:firstLine="720"/>
        <w:rPr>
          <w:rFonts w:ascii="Times New Roman" w:hAnsi="Times New Roman" w:cs="Times New Roman"/>
        </w:rPr>
      </w:pPr>
      <w:r>
        <w:rPr>
          <w:rFonts w:ascii="Times New Roman" w:hAnsi="Times New Roman" w:cs="Times New Roman"/>
        </w:rPr>
        <w:t xml:space="preserve">El análisis anterior sugiere que la dificultad principal no es meramente una cuestión de diseño institucional ni de conflictos entre jerarquías regulatorias. Se trata, más fundamentalmente, de un problema de comunicación a través de sistemas de significación en capas. Para desarrollar ese punto, es necesario detenerse con mayor </w:t>
      </w:r>
      <w:r>
        <w:t>cuidado</w:t>
      </w:r>
      <w:r>
        <w:rPr>
          <w:rFonts w:ascii="Times New Roman" w:hAnsi="Times New Roman" w:cs="Times New Roman"/>
        </w:rPr>
        <w:t xml:space="preserve"> en la lingüística interna de la </w:t>
      </w:r>
      <w:r>
        <w:t>propio gobierno</w:t>
      </w:r>
      <w:r>
        <w:rPr>
          <w:rFonts w:ascii="Times New Roman" w:hAnsi="Times New Roman" w:cs="Times New Roman"/>
        </w:rPr>
        <w:t xml:space="preserve"> del </w:t>
      </w:r>
      <w:r>
        <w:t>código</w:t>
      </w:r>
      <w:r>
        <w:rPr>
          <w:rFonts w:ascii="Times New Roman" w:hAnsi="Times New Roman" w:cs="Times New Roman"/>
        </w:rPr>
        <w:t>, el carácter en capas de sus formas comunicativas y las pérdidas que se producen a medida que el significado legal y cultural desciende de la abstracción normativa humana a la lógica ejecutable por máquinas.</w:t>
      </w:r>
    </w:p>
    <w:p w:rsidR="00093AF0" w:rsidP="00093AF0" w:rsidRDefault="00093AF0" w14:paraId="3B6BE7C1" w14:textId="77777777">
      <w:pPr>
        <w:rPr>
          <w:rFonts w:ascii="Times New Roman" w:hAnsi="Times New Roman" w:cs="Times New Roman"/>
        </w:rPr>
      </w:pPr>
    </w:p>
    <w:p w:rsidRPr="00093AF0" w:rsidR="00093AF0" w:rsidP="00093AF0" w:rsidRDefault="00093AF0" w14:paraId="14148F92" w14:textId="77777777">
      <w:pPr>
        <w:rPr>
          <w:rFonts w:ascii="Times New Roman" w:hAnsi="Times New Roman" w:cs="Times New Roman"/>
        </w:rPr>
      </w:pPr>
      <w:r>
        <w:rPr>
          <w:rFonts w:ascii="Times New Roman" w:hAnsi="Times New Roman" w:cs="Times New Roman"/>
        </w:rPr>
        <w:t xml:space="preserve">V. La </w:t>
      </w:r>
      <w:r>
        <w:t>Sacher-Torte</w:t>
      </w:r>
      <w:r>
        <w:rPr>
          <w:rFonts w:ascii="Times New Roman" w:hAnsi="Times New Roman" w:cs="Times New Roman"/>
        </w:rPr>
        <w:t xml:space="preserve"> de la regulación y el problema de la comunicación entre sistemas.</w:t>
      </w:r>
    </w:p>
    <w:p w:rsidRPr="00093AF0" w:rsidR="00093AF0" w:rsidP="00093AF0" w:rsidRDefault="00093AF0" w14:paraId="73D48544" w14:textId="77777777">
      <w:pPr>
        <w:rPr>
          <w:rFonts w:ascii="Times New Roman" w:hAnsi="Times New Roman" w:cs="Times New Roman"/>
        </w:rPr>
      </w:pPr>
    </w:p>
    <w:p w:rsidRPr="00093AF0" w:rsidR="00093AF0" w:rsidP="00093AF0" w:rsidRDefault="00093AF0" w14:paraId="3B096881" w14:textId="77777777">
      <w:pPr>
        <w:rPr>
          <w:rFonts w:ascii="Times New Roman" w:hAnsi="Times New Roman" w:cs="Times New Roman"/>
          <w:i/>
          <w:iCs/>
        </w:rPr>
      </w:pPr>
      <w:r>
        <w:rPr>
          <w:rFonts w:ascii="Times New Roman" w:hAnsi="Times New Roman" w:cs="Times New Roman"/>
          <w:i/>
          <w:iCs/>
        </w:rPr>
        <w:t xml:space="preserve">i</w:t>
      </w:r>
      <w:r>
        <w:rPr>
          <w:rFonts w:ascii="Times New Roman" w:hAnsi="Times New Roman" w:cs="Times New Roman"/>
          <w:i/>
          <w:iCs/>
        </w:rPr>
        <w:t xml:space="preserve">. La ilusión de </w:t>
      </w:r>
      <w:r>
        <w:rPr>
          <w:rFonts w:ascii="Times New Roman" w:hAnsi="Times New Roman" w:cs="Times New Roman"/>
          <w:i/>
          <w:iCs/>
        </w:rPr>
        <w:t>un gobierno</w:t>
      </w:r>
      <w:r>
        <w:rPr>
          <w:rFonts w:ascii="Times New Roman" w:hAnsi="Times New Roman" w:cs="Times New Roman"/>
          <w:i/>
          <w:iCs/>
        </w:rPr>
        <w:t xml:space="preserve"> del </w:t>
      </w:r>
      <w:r>
        <w:rPr>
          <w:rFonts w:ascii="Times New Roman" w:hAnsi="Times New Roman" w:cs="Times New Roman"/>
          <w:i/>
          <w:iCs/>
        </w:rPr>
        <w:t>código</w:t>
      </w:r>
      <w:r>
        <w:rPr>
          <w:rFonts w:ascii="Times New Roman" w:hAnsi="Times New Roman" w:cs="Times New Roman"/>
          <w:i/>
          <w:iCs/>
        </w:rPr>
        <w:t xml:space="preserve"> singular.</w:t>
      </w:r>
    </w:p>
    <w:p w:rsidRPr="00093AF0" w:rsidR="00093AF0" w:rsidP="004E3A22" w:rsidRDefault="00093AF0" w14:paraId="72FAFECB" w14:textId="13CB6DFF">
      <w:pPr>
        <w:ind w:firstLine="720"/>
        <w:rPr>
          <w:rFonts w:ascii="Times New Roman" w:hAnsi="Times New Roman" w:cs="Times New Roman"/>
        </w:rPr>
      </w:pPr>
      <w:r>
        <w:rPr>
          <w:rFonts w:ascii="Times New Roman" w:hAnsi="Times New Roman" w:cs="Times New Roman"/>
        </w:rPr>
        <w:t xml:space="preserve">El primer error analítico en el debate contemporáneo sobre la gobernanza de la cadena de bloques es la presunción de que </w:t>
      </w:r>
      <w:r>
        <w:t>el gobierno</w:t>
      </w:r>
      <w:r>
        <w:rPr>
          <w:rFonts w:ascii="Times New Roman" w:hAnsi="Times New Roman" w:cs="Times New Roman"/>
        </w:rPr>
        <w:t xml:space="preserve"> del </w:t>
      </w:r>
      <w:r>
        <w:t>código</w:t>
      </w:r>
      <w:r>
        <w:rPr>
          <w:rFonts w:ascii="Times New Roman" w:hAnsi="Times New Roman" w:cs="Times New Roman"/>
        </w:rPr>
        <w:t xml:space="preserve"> designa una cosa única.</w:t>
      </w:r>
      <w:r>
        <w:rPr>
          <w:rStyle w:val="FootnoteReference"/>
          <w:rFonts w:ascii="Times New Roman" w:hAnsi="Times New Roman" w:cs="Times New Roman"/>
        </w:rPr>
        <w:footnoteReference w:id="73"/>
      </w:r>
      <w:r>
        <w:rPr>
          <w:rFonts w:ascii="Times New Roman" w:hAnsi="Times New Roman" w:cs="Times New Roman"/>
        </w:rPr>
        <w:t xml:space="preserve"> No es así. No es ni un lenguaje monolítico ni una forma regulatoria unitaria. Es, más bien, una ecología de órdenes comunicativos relacionados de manera recursiva, cada uno con su propia sintaxis, semántica, restricciones, exclusiones y modalidades de efectividad. Una vez que se rechaza la noción de que la cadena de bloques regula a través de un medio lingüístico coherente, </w:t>
      </w:r>
      <w:r>
        <w:t>el gobierno</w:t>
      </w:r>
      <w:r>
        <w:rPr>
          <w:rFonts w:ascii="Times New Roman" w:hAnsi="Times New Roman" w:cs="Times New Roman"/>
        </w:rPr>
        <w:t xml:space="preserve"> </w:t>
      </w:r>
      <w:r>
        <w:rPr>
          <w:rFonts w:ascii="Times New Roman" w:hAnsi="Times New Roman" w:cs="Times New Roman"/>
        </w:rPr>
        <w:t xml:space="preserve">del </w:t>
      </w:r>
      <w:r>
        <w:rPr>
          <w:rFonts w:ascii="Times New Roman" w:hAnsi="Times New Roman" w:cs="Times New Roman"/>
        </w:rPr>
        <w:lastRenderedPageBreak/>
      </w:r>
      <w:r>
        <w:t>código</w:t>
      </w:r>
      <w:r>
        <w:rPr>
          <w:rFonts w:ascii="Times New Roman" w:hAnsi="Times New Roman" w:cs="Times New Roman"/>
        </w:rPr>
        <w:t xml:space="preserve"> aparece, en cambio, como una </w:t>
      </w:r>
      <w:r>
        <w:t>Sacher-Torte</w:t>
      </w:r>
      <w:r>
        <w:rPr>
          <w:rFonts w:ascii="Times New Roman" w:hAnsi="Times New Roman" w:cs="Times New Roman"/>
        </w:rPr>
        <w:t xml:space="preserve"> de lenguajes a través de los cuales el mandato, la significación y la ejecución se superponen y se median.</w:t>
      </w:r>
    </w:p>
    <w:p w:rsidRPr="00093AF0" w:rsidR="00093AF0" w:rsidP="00093AF0" w:rsidRDefault="00093AF0" w14:paraId="220D9B19" w14:textId="77777777">
      <w:pPr>
        <w:rPr>
          <w:rFonts w:ascii="Times New Roman" w:hAnsi="Times New Roman" w:cs="Times New Roman"/>
        </w:rPr>
      </w:pPr>
    </w:p>
    <w:p w:rsidRPr="00093AF0" w:rsidR="00093AF0" w:rsidP="004E3A22" w:rsidRDefault="00093AF0" w14:paraId="7F03D08A" w14:textId="2198720C">
      <w:pPr>
        <w:ind w:firstLine="720"/>
        <w:rPr>
          <w:rFonts w:ascii="Times New Roman" w:hAnsi="Times New Roman" w:cs="Times New Roman"/>
        </w:rPr>
      </w:pPr>
      <w:r>
        <w:rPr>
          <w:rFonts w:ascii="Times New Roman" w:hAnsi="Times New Roman" w:cs="Times New Roman"/>
        </w:rPr>
        <w:t xml:space="preserve">Ese reconocimiento es importante porque la fricción entre el Estado de derecho y el </w:t>
      </w:r>
      <w:r>
        <w:t>gobierno</w:t>
      </w:r>
      <w:r>
        <w:rPr>
          <w:rFonts w:ascii="Times New Roman" w:hAnsi="Times New Roman" w:cs="Times New Roman"/>
        </w:rPr>
        <w:t xml:space="preserve"> del código no se agota en el conocido tropo del conflicto entre el mandato soberano y el diseño técnico. La dificultad más profunda es comunicativa. Se trata de un problema de traducción, transposición y degradación de la señal a través de sistemas heterogéneos de significado. El lenguaje jurídico humano opera en un universo semántico en el que la ambigüedad suele ser productiva, la temporalidad es abierta, la interpretación es institucional y valores como la equidad, la igualdad, la razonabilidad y la proporcionalidad siguen siendo necesariamente discutibles. Por el contrario, el código opera a través de gramáticas cada vez más restringidas de distinción ejecutable. A medida que uno desciende por la pila, no se limita a implementar la ley, sino que somete el significado jurídico a una serie de transformaciones. Una serie en la que se reduce el ancho de banda disponible para la normatividad humana, cambia la forma de expresión permisible y se reconfigura la ontología misma del objeto regulado.</w:t>
      </w:r>
      <w:r>
        <w:rPr>
          <w:rStyle w:val="FootnoteReference"/>
          <w:rFonts w:ascii="Times New Roman" w:hAnsi="Times New Roman" w:cs="Times New Roman"/>
        </w:rPr>
        <w:footnoteReference w:id="74"/>
      </w:r>
    </w:p>
    <w:p w:rsidRPr="00093AF0" w:rsidR="00093AF0" w:rsidP="00093AF0" w:rsidRDefault="00093AF0" w14:paraId="506442C1" w14:textId="77777777">
      <w:pPr>
        <w:rPr>
          <w:rFonts w:ascii="Times New Roman" w:hAnsi="Times New Roman" w:cs="Times New Roman"/>
        </w:rPr>
      </w:pPr>
    </w:p>
    <w:p w:rsidRPr="00093AF0" w:rsidR="00093AF0" w:rsidP="004E3A22" w:rsidRDefault="00093AF0" w14:paraId="3161D36F" w14:textId="77777777">
      <w:pPr>
        <w:ind w:firstLine="720"/>
        <w:rPr>
          <w:rFonts w:ascii="Times New Roman" w:hAnsi="Times New Roman" w:cs="Times New Roman"/>
        </w:rPr>
      </w:pPr>
      <w:r>
        <w:rPr>
          <w:rFonts w:ascii="Times New Roman" w:hAnsi="Times New Roman" w:cs="Times New Roman"/>
        </w:rPr>
        <w:t xml:space="preserve">Más allá del simple concepto de que los abogados y los ingenieros hablan dialectos profesionales diferentes, lo que ocurre es que el Estado de derecho y el </w:t>
      </w:r>
      <w:r>
        <w:t>gobierno</w:t>
      </w:r>
      <w:r>
        <w:rPr>
          <w:rFonts w:ascii="Times New Roman" w:hAnsi="Times New Roman" w:cs="Times New Roman"/>
        </w:rPr>
        <w:t xml:space="preserve"> del código habitan universos cognitivos distintos cuyo contacto depende de actos inestables de traducción. En la parte superior de la pila, los actores humanos aún se imaginan a sí mismos hablando en el lenguaje de los valores públicos. En la parte inferior, sin embargo, el sistema ya no percibe la equidad, la dignidad o la igualdad como tales. Solo percibe distinciones que pueden hacerse ejecutables dentro de la gramática operativa de la máquina. Lo que aparece en la capa de políticas como un principio se reconstituye gradualmente, en las capas inferiores, como una instrucción o código de máquina, luego como una operación y, finalmente, como una restricción materializada.</w:t>
      </w:r>
    </w:p>
    <w:p w:rsidRPr="00093AF0" w:rsidR="00093AF0" w:rsidP="00093AF0" w:rsidRDefault="00093AF0" w14:paraId="10F923B1" w14:textId="77777777">
      <w:pPr>
        <w:rPr>
          <w:rFonts w:ascii="Times New Roman" w:hAnsi="Times New Roman" w:cs="Times New Roman"/>
        </w:rPr>
      </w:pPr>
    </w:p>
    <w:p w:rsidRPr="00093AF0" w:rsidR="00093AF0" w:rsidP="004E3A22" w:rsidRDefault="00093AF0" w14:paraId="40DAF306" w14:textId="0ED691D7">
      <w:pPr>
        <w:ind w:firstLine="720"/>
        <w:rPr>
          <w:rFonts w:ascii="Times New Roman" w:hAnsi="Times New Roman" w:cs="Times New Roman"/>
        </w:rPr>
      </w:pPr>
      <w:r>
        <w:rPr>
          <w:rFonts w:ascii="Times New Roman" w:hAnsi="Times New Roman" w:cs="Times New Roman"/>
        </w:rPr>
        <w:t xml:space="preserve">La consecuencia es decisiva. </w:t>
      </w:r>
      <w:r>
        <w:rPr>
          <w:rFonts w:ascii="Times New Roman" w:hAnsi="Times New Roman" w:cs="Times New Roman"/>
        </w:rPr>
        <w:t>El gobierno</w:t>
      </w:r>
      <w:r>
        <w:rPr>
          <w:rFonts w:ascii="Times New Roman" w:hAnsi="Times New Roman" w:cs="Times New Roman"/>
        </w:rPr>
        <w:t xml:space="preserve"> del </w:t>
      </w:r>
      <w:r>
        <w:rPr>
          <w:rFonts w:ascii="Times New Roman" w:hAnsi="Times New Roman" w:cs="Times New Roman"/>
        </w:rPr>
        <w:t>código</w:t>
      </w:r>
      <w:r>
        <w:rPr>
          <w:rFonts w:ascii="Times New Roman" w:hAnsi="Times New Roman" w:cs="Times New Roman"/>
        </w:rPr>
        <w:t xml:space="preserve"> no es un reflejo de la ley, ni siquiera su instrumento obediente. Funciona como un sistema cognitivo autónomo y autorreferencial que solo recibe significado jurídico humano después de que ese significado se haya traducido a formas legibles para su propia racionalidad interna. El sistema se alimenta de sus propios datos. En la cadena de bloques (blockchain), esto es literal más que figurativo: cada nuevo bloque es válido solo si se deriva del estado que la cadena ya ha registrado, de modo que la propia salida previa del sistema se convierte </w:t>
      </w:r>
      <w:r>
        <w:rPr>
          <w:rFonts w:ascii="Times New Roman" w:hAnsi="Times New Roman" w:cs="Times New Roman"/>
        </w:rPr>
        <w:t xml:space="preserve">en</w:t>
      </w:r>
      <w:r>
        <w:rPr>
          <w:rFonts w:ascii="Times New Roman" w:hAnsi="Times New Roman" w:cs="Times New Roman"/>
        </w:rPr>
        <w:t xml:space="preserve"> la medida de cada nueva entrada</w:t>
      </w:r>
      <w:r>
        <w:rPr>
          <w:rFonts w:ascii="Times New Roman" w:hAnsi="Times New Roman" w:cs="Times New Roman"/>
        </w:rPr>
        <w:t xml:space="preserve">.</w:t>
      </w:r>
      <w:r>
        <w:rPr>
          <w:rStyle w:val="FootnoteReference"/>
          <w:rFonts w:ascii="Times New Roman" w:hAnsi="Times New Roman" w:cs="Times New Roman"/>
        </w:rPr>
        <w:footnoteReference w:id="75"/>
      </w:r>
      <w:r>
        <w:rPr>
          <w:rFonts w:ascii="Times New Roman" w:hAnsi="Times New Roman" w:cs="Times New Roman"/>
        </w:rPr>
        <w:t xml:space="preserve"> Cuando los sistemas generativos entran en el ciclo, esa autorreferencia adquiere un carácter adulador, produciendo resultados diseñados para satisfacer en lugar de informar, de formas que ya no son visibles para los humanos.</w:t>
      </w:r>
      <w:r>
        <w:rPr>
          <w:rStyle w:val="FootnoteReference"/>
          <w:rFonts w:ascii="Times New Roman" w:hAnsi="Times New Roman" w:cs="Times New Roman"/>
        </w:rPr>
        <w:footnoteReference w:id="76"/>
      </w:r>
      <w:r>
        <w:rPr>
          <w:rFonts w:ascii="Times New Roman" w:hAnsi="Times New Roman" w:cs="Times New Roman"/>
        </w:rPr>
        <w:t xml:space="preserve"> En </w:t>
      </w:r>
      <w:r>
        <w:rPr>
          <w:rFonts w:ascii="Times New Roman" w:hAnsi="Times New Roman" w:cs="Times New Roman"/>
        </w:rPr>
        <w:t xml:space="preserve">términos </w:t>
      </w:r>
      <w:r>
        <w:rPr>
          <w:rFonts w:ascii="Times New Roman" w:hAnsi="Times New Roman" w:cs="Times New Roman"/>
        </w:rPr>
        <w:t>luhmannianos</w:t>
      </w:r>
      <w:r>
        <w:rPr>
          <w:rFonts w:ascii="Times New Roman" w:hAnsi="Times New Roman" w:cs="Times New Roman"/>
        </w:rPr>
        <w:t xml:space="preserve">, </w:t>
      </w:r>
      <w:r>
        <w:rPr>
          <w:rFonts w:ascii="Times New Roman" w:hAnsi="Times New Roman" w:cs="Times New Roman"/>
        </w:rPr>
        <w:t>el gobierno</w:t>
      </w:r>
      <w:r>
        <w:rPr>
          <w:rFonts w:ascii="Times New Roman" w:hAnsi="Times New Roman" w:cs="Times New Roman"/>
        </w:rPr>
        <w:t xml:space="preserve"> del </w:t>
      </w:r>
      <w:r>
        <w:rPr>
          <w:rFonts w:ascii="Times New Roman" w:hAnsi="Times New Roman" w:cs="Times New Roman"/>
        </w:rPr>
        <w:t>código</w:t>
      </w:r>
      <w:r>
        <w:rPr>
          <w:rFonts w:ascii="Times New Roman" w:hAnsi="Times New Roman" w:cs="Times New Roman"/>
        </w:rPr>
        <w:t xml:space="preserve"> se aproxima a la condición de un sistema </w:t>
      </w:r>
      <w:r>
        <w:rPr>
          <w:rFonts w:ascii="Times New Roman" w:hAnsi="Times New Roman" w:cs="Times New Roman"/>
          <w:i/>
          <w:iCs/>
        </w:rPr>
        <w:t>autopoiético</w:t>
      </w:r>
      <w:r>
        <w:rPr>
          <w:rFonts w:ascii="Times New Roman" w:hAnsi="Times New Roman" w:cs="Times New Roman"/>
          <w:i/>
          <w:iCs/>
        </w:rPr>
        <w:t xml:space="preserve"> </w:t>
      </w:r>
      <w:r>
        <w:rPr>
          <w:rFonts w:ascii="Times New Roman" w:hAnsi="Times New Roman" w:cs="Times New Roman"/>
        </w:rPr>
        <w:t xml:space="preserve">y </w:t>
      </w:r>
      <w:r>
        <w:rPr>
          <w:rFonts w:ascii="Times New Roman" w:hAnsi="Times New Roman" w:cs="Times New Roman"/>
          <w:i/>
          <w:iCs/>
        </w:rPr>
        <w:t xml:space="preserve">operativamente cerrado</w:t>
      </w:r>
      <w:r>
        <w:rPr>
          <w:rFonts w:ascii="Times New Roman" w:hAnsi="Times New Roman" w:cs="Times New Roman"/>
        </w:rPr>
        <w:t xml:space="preserve">, que funciona a partir de sus propias referencias internas.</w:t>
      </w:r>
      <w:r>
        <w:rPr>
          <w:rStyle w:val="FootnoteReference"/>
          <w:rFonts w:ascii="Times New Roman" w:hAnsi="Times New Roman" w:cs="Times New Roman"/>
        </w:rPr>
        <w:footnoteReference w:id="77"/>
      </w:r>
      <w:r>
        <w:rPr>
          <w:rFonts w:ascii="Times New Roman" w:hAnsi="Times New Roman" w:cs="Times New Roman"/>
        </w:rPr>
        <w:t xml:space="preserve"> El cierre, sin embargo, no es aislamiento. Para Luhmann, el cierre operativo es la condición de la apertura de un sistema hacia su entorno, no su negación. Un sistema cerrado no puede ser controlado desde</w:t>
      </w:r>
      <w:r>
        <w:rPr>
          <w:rFonts w:ascii="Times New Roman" w:hAnsi="Times New Roman" w:cs="Times New Roman"/>
        </w:rPr>
        <w:lastRenderedPageBreak/>
      </w:r>
      <w:r>
        <w:rPr>
          <w:rFonts w:ascii="Times New Roman" w:hAnsi="Times New Roman" w:cs="Times New Roman"/>
        </w:rPr>
        <w:t xml:space="preserve"> el exterior, pero sí puede ser </w:t>
      </w:r>
      <w:r>
        <w:rPr>
          <w:rFonts w:ascii="Times New Roman" w:hAnsi="Times New Roman" w:cs="Times New Roman"/>
        </w:rPr>
        <w:t>irritado</w:t>
      </w:r>
      <w:r>
        <w:rPr>
          <w:rFonts w:ascii="Times New Roman" w:hAnsi="Times New Roman" w:cs="Times New Roman"/>
        </w:rPr>
        <w:t xml:space="preserve">, y es en los puntos de </w:t>
      </w:r>
      <w:r>
        <w:rPr>
          <w:rFonts w:ascii="Times New Roman" w:hAnsi="Times New Roman" w:cs="Times New Roman"/>
        </w:rPr>
        <w:t>irritación</w:t>
      </w:r>
      <w:r>
        <w:rPr>
          <w:rFonts w:ascii="Times New Roman" w:hAnsi="Times New Roman" w:cs="Times New Roman"/>
        </w:rPr>
        <w:t xml:space="preserve"> donde el acoplamiento se vuelve posible</w:t>
      </w:r>
      <w:r>
        <w:rPr>
          <w:rFonts w:ascii="Times New Roman" w:hAnsi="Times New Roman" w:cs="Times New Roman"/>
        </w:rPr>
        <w:t xml:space="preserve">.</w:t>
      </w:r>
      <w:r>
        <w:rPr>
          <w:rStyle w:val="FootnoteReference"/>
          <w:rFonts w:ascii="Times New Roman" w:hAnsi="Times New Roman" w:cs="Times New Roman"/>
        </w:rPr>
        <w:footnoteReference w:id="78"/>
      </w:r>
      <w:r>
        <w:rPr>
          <w:rFonts w:ascii="Times New Roman" w:hAnsi="Times New Roman" w:cs="Times New Roman"/>
        </w:rPr>
        <w:t xml:space="preserve"> El problema de </w:t>
      </w:r>
      <w:r>
        <w:rPr>
          <w:rFonts w:ascii="Times New Roman" w:hAnsi="Times New Roman" w:cs="Times New Roman"/>
        </w:rPr>
        <w:t>la comunicación entre</w:t>
      </w:r>
      <w:r>
        <w:rPr>
          <w:rFonts w:ascii="Times New Roman" w:hAnsi="Times New Roman" w:cs="Times New Roman"/>
        </w:rPr>
        <w:t xml:space="preserve"> sistemas se origina aquí, no porque la ley carezca de autoridad en abstracto, sino porque la autoridad no sobrevive al descenso sin cambios. Lo que viaja hacia abajo no es la intención humana</w:t>
      </w:r>
      <w:r>
        <w:rPr>
          <w:rStyle w:val="FootnoteReference"/>
          <w:rFonts w:ascii="Times New Roman" w:hAnsi="Times New Roman" w:cs="Times New Roman"/>
        </w:rPr>
        <w:footnoteReference w:id="79"/>
      </w:r>
      <w:r>
        <w:rPr>
          <w:rFonts w:ascii="Times New Roman" w:hAnsi="Times New Roman" w:cs="Times New Roman"/>
        </w:rPr>
        <w:t xml:space="preserve"> en sí misma, sino simulaciones</w:t>
      </w:r>
      <w:r>
        <w:rPr>
          <w:rStyle w:val="FootnoteReference"/>
          <w:rFonts w:ascii="Times New Roman" w:hAnsi="Times New Roman" w:cs="Times New Roman"/>
        </w:rPr>
        <w:footnoteReference w:id="80"/>
      </w:r>
      <w:r>
        <w:rPr>
          <w:rFonts w:ascii="Times New Roman" w:hAnsi="Times New Roman" w:cs="Times New Roman"/>
        </w:rPr>
        <w:t xml:space="preserve"> de la misma, una intención de máquina representada por la forma mimética e iterativa de las respuestas al ser humano, moldeada tanto por el insumo humano como a través de datos previos recopilados por el sistema.</w:t>
      </w:r>
    </w:p>
    <w:p w:rsidRPr="00093AF0" w:rsidR="00093AF0" w:rsidP="00093AF0" w:rsidRDefault="00093AF0" w14:paraId="2AAA1016" w14:textId="77777777">
      <w:pPr>
        <w:rPr>
          <w:rFonts w:ascii="Times New Roman" w:hAnsi="Times New Roman" w:cs="Times New Roman"/>
        </w:rPr>
      </w:pPr>
    </w:p>
    <w:p w:rsidRPr="00093AF0" w:rsidR="00093AF0" w:rsidP="00093AF0" w:rsidRDefault="00093AF0" w14:paraId="5937ECD7" w14:textId="77777777">
      <w:pPr>
        <w:rPr>
          <w:rFonts w:ascii="Times New Roman" w:hAnsi="Times New Roman" w:cs="Times New Roman"/>
          <w:i/>
          <w:iCs/>
        </w:rPr>
      </w:pPr>
      <w:r>
        <w:rPr>
          <w:rFonts w:ascii="Times New Roman" w:hAnsi="Times New Roman" w:cs="Times New Roman"/>
          <w:i/>
          <w:iCs/>
        </w:rPr>
        <w:t xml:space="preserve">ii. Desmontando las capas de la </w:t>
      </w:r>
      <w:r>
        <w:rPr>
          <w:rFonts w:ascii="Times New Roman" w:hAnsi="Times New Roman" w:cs="Times New Roman"/>
          <w:i/>
          <w:iCs/>
        </w:rPr>
        <w:t>Sacher-Torte</w:t>
      </w:r>
      <w:r>
        <w:rPr>
          <w:rFonts w:ascii="Times New Roman" w:hAnsi="Times New Roman" w:cs="Times New Roman"/>
          <w:i/>
          <w:iCs/>
        </w:rPr>
        <w:t>.</w:t>
      </w:r>
    </w:p>
    <w:p w:rsidRPr="00093AF0" w:rsidR="00093AF0" w:rsidP="004E3A22" w:rsidRDefault="00093AF0" w14:paraId="5185CD92" w14:textId="58A599B4">
      <w:pPr>
        <w:ind w:firstLine="720"/>
        <w:rPr>
          <w:rFonts w:ascii="Times New Roman" w:hAnsi="Times New Roman" w:cs="Times New Roman"/>
        </w:rPr>
      </w:pPr>
      <w:r>
        <w:t>Por</w:t>
      </w:r>
      <w:r>
        <w:rPr>
          <w:rFonts w:ascii="Times New Roman" w:hAnsi="Times New Roman" w:cs="Times New Roman"/>
        </w:rPr>
        <w:t xml:space="preserve"> economía analítica, el orden comunicativo en capas se representa como una </w:t>
      </w:r>
      <w:r>
        <w:t>Sacher-Torte</w:t>
      </w:r>
      <w:r>
        <w:rPr>
          <w:rFonts w:ascii="Times New Roman" w:hAnsi="Times New Roman" w:cs="Times New Roman"/>
        </w:rPr>
        <w:t xml:space="preserve"> de cinco capas. El número es una consolidación interpretativa más que una especificación de ingeniería. Un ingeniero podría dibujar la pila con mayor detalle, y un dibujo más detallado solo agregaría sitios de traducción, no los eliminaría.</w:t>
      </w:r>
      <w:r>
        <w:rPr>
          <w:rStyle w:val="FootnoteReference"/>
          <w:rFonts w:ascii="Times New Roman" w:hAnsi="Times New Roman" w:cs="Times New Roman"/>
        </w:rPr>
        <w:footnoteReference w:id="81"/>
      </w:r>
      <w:r>
        <w:rPr>
          <w:rFonts w:ascii="Times New Roman" w:hAnsi="Times New Roman" w:cs="Times New Roman"/>
        </w:rPr>
        <w:t xml:space="preserve"> Lo que distingue a una capa de la siguiente no es su lugar en un proceso de compilación, sino dos preguntas relacionadas: quién puede seguir leyendo el lenguaje que se habla allí y qué tipo de significado puede seguir transmitiendo ese lenguaje. Las tres alineaciones descritas al principio se corresponden con estas capas. El lenguaje de humano a humano ocupa la primera; el paso del lenguaje humano al de máquina abarca la segunda y la tercera; el lenguaje de máquina a máquina rige la cuarta y la quinta. Comenzamos con la capa de </w:t>
      </w:r>
      <w:r>
        <w:t>humano</w:t>
      </w:r>
      <w:r>
        <w:rPr>
          <w:rFonts w:ascii="Times New Roman" w:hAnsi="Times New Roman" w:cs="Times New Roman"/>
        </w:rPr>
        <w:t xml:space="preserve"> a </w:t>
      </w:r>
      <w:r>
        <w:t>humano</w:t>
      </w:r>
      <w:r>
        <w:rPr>
          <w:rFonts w:ascii="Times New Roman" w:hAnsi="Times New Roman" w:cs="Times New Roman"/>
        </w:rPr>
        <w:t xml:space="preserve">, identificando nuestra capa superior del </w:t>
      </w:r>
      <w:r>
        <w:t>bizcocho</w:t>
      </w:r>
      <w:r>
        <w:rPr>
          <w:rFonts w:ascii="Times New Roman" w:hAnsi="Times New Roman" w:cs="Times New Roman"/>
        </w:rPr>
        <w:t>, el glaseado de chocolate, antes de adentrarnos en el cuerpo.</w:t>
      </w:r>
    </w:p>
    <w:p w:rsidRPr="00093AF0" w:rsidR="00093AF0" w:rsidP="00093AF0" w:rsidRDefault="00093AF0" w14:paraId="152C2F3C" w14:textId="77777777">
      <w:pPr>
        <w:rPr>
          <w:rFonts w:ascii="Times New Roman" w:hAnsi="Times New Roman" w:cs="Times New Roman"/>
        </w:rPr>
      </w:pPr>
    </w:p>
    <w:p w:rsidRPr="00093AF0" w:rsidR="00093AF0" w:rsidP="004E3A22" w:rsidRDefault="00093AF0" w14:paraId="5B1CD86D" w14:textId="524F1020">
      <w:pPr>
        <w:ind w:firstLine="720"/>
        <w:rPr>
          <w:rFonts w:ascii="Times New Roman" w:hAnsi="Times New Roman" w:cs="Times New Roman"/>
        </w:rPr>
      </w:pPr>
      <w:r>
        <w:rPr>
          <w:rFonts w:ascii="Times New Roman" w:hAnsi="Times New Roman" w:cs="Times New Roman"/>
        </w:rPr>
        <w:t xml:space="preserve">En la primera capa residen los lenguajes de la legislación, la regulación, la adjudicación, la práctica institucional, la cultura política y las expectativas sociales. Este es el ámbito en el que el derecho aún se presenta en su forma más reconociblemente humana: texto, argumento, principio, aspiración, analogía, narrativa. También es la capa en la que los valores permanecen temporalmente fluidos. La igualdad no es un objeto estable, es un significante cuyo contenido social y jurídico deriva con el tiempo, de tal manera que las invocaciones del mismo término en el siglo XVIII y en el siglo XXI pueden codificar universos normativos profundamente diferentes.</w:t>
      </w:r>
      <w:r w:rsidR="00897E96">
        <w:rPr>
          <w:rStyle w:val="FootnoteReference"/>
          <w:rFonts w:ascii="Times New Roman" w:hAnsi="Times New Roman" w:cs="Times New Roman"/>
        </w:rPr>
        <w:footnoteReference w:id="82"/>
      </w:r>
      <w:r>
        <w:rPr>
          <w:rFonts w:ascii="Times New Roman" w:hAnsi="Times New Roman" w:cs="Times New Roman"/>
        </w:rPr>
        <w:t xml:space="preserve"> Es precisamente esta fluidez la que el código desplaza. Lessig sostiene que el código actúa como el principal regulador de hoy en día, uno que da forma al entorno a través de restricciones codificadas de manera rígida, en lugar de la naturaleza fluida de las normas y los poderes del Estado.</w:t>
      </w:r>
      <w:r>
        <w:rPr>
          <w:rStyle w:val="FootnoteReference"/>
          <w:rFonts w:ascii="Times New Roman" w:hAnsi="Times New Roman" w:cs="Times New Roman"/>
        </w:rPr>
        <w:footnoteReference w:id="83"/>
      </w:r>
    </w:p>
    <w:p w:rsidRPr="00093AF0" w:rsidR="00093AF0" w:rsidP="00093AF0" w:rsidRDefault="00093AF0" w14:paraId="7CA7C04F" w14:textId="77777777">
      <w:pPr>
        <w:rPr>
          <w:rFonts w:ascii="Times New Roman" w:hAnsi="Times New Roman" w:cs="Times New Roman"/>
        </w:rPr>
      </w:pPr>
    </w:p>
    <w:p w:rsidRPr="00093AF0" w:rsidR="00093AF0" w:rsidP="004E3A22" w:rsidRDefault="00093AF0" w14:paraId="4A899A6C" w14:textId="1D1BFEAC">
      <w:pPr>
        <w:ind w:firstLine="720"/>
        <w:rPr>
          <w:rFonts w:ascii="Times New Roman" w:hAnsi="Times New Roman" w:cs="Times New Roman"/>
        </w:rPr>
      </w:pPr>
      <w:r>
        <w:rPr>
          <w:rFonts w:ascii="Times New Roman" w:hAnsi="Times New Roman" w:cs="Times New Roman"/>
        </w:rPr>
        <w:t xml:space="preserve">En este nivel, sin embargo, el lenguaje no se limita a describir un mundo, sino que lo constituye. Los textos legales son performativos en el sentido más fuerte: otorgan legitimidad, ordenan la percepción, distinguen lo público de lo privado, lo lícito de lo ilícito, lo reparador de lo punitivo. Hildebrandt explica este </w:t>
      </w:r>
      <w:r>
        <w:rPr>
          <w:rFonts w:ascii="Times New Roman" w:hAnsi="Times New Roman" w:cs="Times New Roman"/>
        </w:rPr>
        <w:t xml:space="preserve">efecto </w:t>
      </w:r>
      <w:r>
        <w:rPr>
          <w:rFonts w:ascii="Times New Roman" w:hAnsi="Times New Roman" w:cs="Times New Roman"/>
        </w:rPr>
        <w:t xml:space="preserve">performativo</w:t>
      </w:r>
      <w:r>
        <w:rPr>
          <w:rFonts w:ascii="Times New Roman" w:hAnsi="Times New Roman" w:cs="Times New Roman"/>
        </w:rPr>
        <w:lastRenderedPageBreak/>
      </w:r>
      <w:r>
        <w:rPr>
          <w:rFonts w:ascii="Times New Roman" w:hAnsi="Times New Roman" w:cs="Times New Roman"/>
        </w:rPr>
        <w:t xml:space="preserve"> de la interpretación jurídica como una fuerza «basada en una compleja interacción entre las exigencias de la certeza jurídica, la justicia y la instrumentalidad».</w:t>
      </w:r>
      <w:r>
        <w:rPr>
          <w:rStyle w:val="FootnoteReference"/>
          <w:rFonts w:ascii="Times New Roman" w:hAnsi="Times New Roman" w:cs="Times New Roman"/>
        </w:rPr>
        <w:footnoteReference w:id="84"/>
      </w:r>
      <w:r>
        <w:rPr>
          <w:rFonts w:ascii="Times New Roman" w:hAnsi="Times New Roman" w:cs="Times New Roman"/>
        </w:rPr>
        <w:t xml:space="preserve"> Sin embargo, este nivel también es indeterminado de una manera esencial para su función. Tolera la ambigüedad porque la ambigüedad es el precio de la generalidad. Tolera la contradicción porque la contradicción es a menudo el medio a través del cual las sociedades plurales negocian la coexistencia. Tolera el retraso porque la resolución de litigios y la administración dependen de la interpretación institucional. En términos fenomenológicos, esta es la capa en la que el objeto de la regulación permanece ligado al significado vivido y al contexto social. En términos semióticos, el significante permanece abierto a la controversia. Así como el glaseado de chocolate puede derramarse sobre el </w:t>
      </w:r>
      <w:r>
        <w:t>bizcocho</w:t>
      </w:r>
      <w:r>
        <w:rPr>
          <w:rFonts w:ascii="Times New Roman" w:hAnsi="Times New Roman" w:cs="Times New Roman"/>
        </w:rPr>
        <w:t xml:space="preserve"> y cambiar de forma y tamaño, lo mismo ocurre con la capa de </w:t>
      </w:r>
      <w:r>
        <w:t>humano a humano</w:t>
      </w:r>
      <w:r>
        <w:rPr>
          <w:rFonts w:ascii="Times New Roman" w:hAnsi="Times New Roman" w:cs="Times New Roman"/>
        </w:rPr>
        <w:t>.</w:t>
      </w:r>
    </w:p>
    <w:p w:rsidRPr="00093AF0" w:rsidR="00093AF0" w:rsidP="00093AF0" w:rsidRDefault="00093AF0" w14:paraId="1BF607AA" w14:textId="77777777">
      <w:pPr>
        <w:rPr>
          <w:rFonts w:ascii="Times New Roman" w:hAnsi="Times New Roman" w:cs="Times New Roman"/>
        </w:rPr>
      </w:pPr>
    </w:p>
    <w:p w:rsidRPr="00093AF0" w:rsidR="00093AF0" w:rsidP="004E3A22" w:rsidRDefault="00093AF0" w14:paraId="4890C3D9" w14:textId="190BBBF8">
      <w:pPr>
        <w:ind w:firstLine="720"/>
        <w:rPr>
          <w:rFonts w:ascii="Times New Roman" w:hAnsi="Times New Roman" w:cs="Times New Roman"/>
        </w:rPr>
      </w:pPr>
      <w:r>
        <w:rPr>
          <w:rFonts w:ascii="Times New Roman" w:hAnsi="Times New Roman" w:cs="Times New Roman"/>
        </w:rPr>
        <w:t xml:space="preserve">La segunda capa es la zona de transcripción de la política al software. Aquí, los valores no desaparecen, pero se ven obligados a adoptar una forma diferente.</w:t>
      </w:r>
      <w:r w:rsidR="00C86A00">
        <w:rPr>
          <w:rStyle w:val="FootnoteReference"/>
          <w:rFonts w:ascii="Times New Roman" w:hAnsi="Times New Roman" w:cs="Times New Roman"/>
        </w:rPr>
        <w:footnoteReference w:id="85"/>
      </w:r>
      <w:r>
        <w:rPr>
          <w:rFonts w:ascii="Times New Roman" w:hAnsi="Times New Roman" w:cs="Times New Roman"/>
        </w:rPr>
        <w:t xml:space="preserve"> El programador debe decidir qué es, exactamente, lo que cuenta como igualdad, cumplimiento, consentimiento, autorización o riesgo a efectos del diseño del sistema.</w:t>
      </w:r>
      <w:r w:rsidR="00C86A00">
        <w:rPr>
          <w:rStyle w:val="FootnoteReference"/>
          <w:rFonts w:ascii="Times New Roman" w:hAnsi="Times New Roman" w:cs="Times New Roman"/>
        </w:rPr>
        <w:footnoteReference w:id="86"/>
      </w:r>
      <w:r>
        <w:rPr>
          <w:rFonts w:ascii="Times New Roman" w:hAnsi="Times New Roman" w:cs="Times New Roman"/>
        </w:rPr>
        <w:t xml:space="preserve"> En el paso del lenguaje jurídico al código fuente, la abstracción se convierte en parametrización</w:t>
      </w:r>
      <w:r w:rsidR="00C86A00">
        <w:rPr>
          <w:rFonts w:ascii="Times New Roman" w:hAnsi="Times New Roman" w:cs="Times New Roman"/>
        </w:rPr>
        <w:t xml:space="preserve">.</w:t>
      </w:r>
      <w:r w:rsidR="00C86A00">
        <w:rPr>
          <w:rStyle w:val="FootnoteReference"/>
          <w:rFonts w:ascii="Times New Roman" w:hAnsi="Times New Roman" w:cs="Times New Roman"/>
        </w:rPr>
        <w:footnoteReference w:id="87"/>
      </w:r>
      <w:r>
        <w:rPr>
          <w:rFonts w:ascii="Times New Roman" w:hAnsi="Times New Roman" w:cs="Times New Roman"/>
        </w:rPr>
        <w:t xml:space="preserve"> </w:t>
      </w:r>
      <w:r w:rsidRPr="007E10E9" w:rsidR="007E10E9">
        <w:rPr>
          <w:rFonts w:ascii="Times New Roman" w:hAnsi="Times New Roman" w:cs="Times New Roman"/>
        </w:rPr>
        <w:t xml:space="preserve">La parametrización</w:t>
      </w:r>
      <w:r w:rsidR="007E10E9">
        <w:rPr>
          <w:rFonts w:ascii="Times New Roman" w:hAnsi="Times New Roman" w:cs="Times New Roman"/>
        </w:rPr>
        <w:t xml:space="preserve">, en este sentido, puede entenderse como el </w:t>
      </w:r>
      <w:r w:rsidRPr="007E10E9" w:rsidR="007E10E9">
        <w:rPr>
          <w:rFonts w:ascii="Times New Roman" w:hAnsi="Times New Roman" w:cs="Times New Roman"/>
        </w:rPr>
        <w:t xml:space="preserve">punto en el que una proposición normativa abstracta adquiere consecuencias operativas determinadas dentro de un sistema particular. </w:t>
      </w:r>
      <w:r w:rsidR="007E10E9">
        <w:rPr>
          <w:rFonts w:ascii="Times New Roman" w:hAnsi="Times New Roman" w:cs="Times New Roman"/>
        </w:rPr>
        <w:t xml:space="preserve">De estas premisas se derivan ciertas consecuencias: </w:t>
      </w:r>
      <w:r>
        <w:rPr>
          <w:rFonts w:ascii="Times New Roman" w:hAnsi="Times New Roman" w:cs="Times New Roman"/>
        </w:rPr>
        <w:t xml:space="preserve">la equidad se convierte en un umbral, una regla de acceso, una función de ponderación o una puerta lógica de permiso y denegación. La igualdad se convierte en una rutina comparativa. El debido proceso se convierte en una secuencia de estados autorizados en un flujo de trabajo.</w:t>
      </w:r>
      <w:r>
        <w:rPr>
          <w:rStyle w:val="FootnoteReference"/>
          <w:rFonts w:ascii="Times New Roman" w:hAnsi="Times New Roman" w:cs="Times New Roman"/>
        </w:rPr>
        <w:footnoteReference w:id="88"/>
      </w:r>
      <w:r>
        <w:rPr>
          <w:rFonts w:ascii="Times New Roman" w:hAnsi="Times New Roman" w:cs="Times New Roman"/>
        </w:rPr>
        <w:t xml:space="preserve"> Los valores humanos sobreviven únicamente al ser operacionalizados</w:t>
      </w:r>
      <w:r w:rsidR="00C86A00">
        <w:rPr>
          <w:rFonts w:ascii="Times New Roman" w:hAnsi="Times New Roman" w:cs="Times New Roman"/>
        </w:rPr>
        <w:t xml:space="preserve">, es decir, la suma mimética e iterativa de reglas traducidas en estructuras operativas que condicionan los comportamientos en sus interacciones con los usuarios —ya sean estos humanos o parte de sistemas automatizados de toma de decisiones</w:t>
      </w:r>
      <w:r>
        <w:rPr>
          <w:rFonts w:ascii="Times New Roman" w:hAnsi="Times New Roman" w:cs="Times New Roman"/>
        </w:rPr>
        <w:t xml:space="preserve">—.</w:t>
      </w:r>
      <w:r w:rsidR="00C86A00">
        <w:rPr>
          <w:rStyle w:val="FootnoteReference"/>
          <w:rFonts w:ascii="Times New Roman" w:hAnsi="Times New Roman" w:cs="Times New Roman"/>
        </w:rPr>
        <w:footnoteReference w:id="89"/>
      </w:r>
    </w:p>
    <w:p w:rsidRPr="00093AF0" w:rsidR="00093AF0" w:rsidP="00093AF0" w:rsidRDefault="00093AF0" w14:paraId="74B6336C" w14:textId="77777777">
      <w:pPr>
        <w:rPr>
          <w:rFonts w:ascii="Times New Roman" w:hAnsi="Times New Roman" w:cs="Times New Roman"/>
        </w:rPr>
      </w:pPr>
    </w:p>
    <w:p w:rsidRPr="00093AF0" w:rsidR="00093AF0" w:rsidP="004E3A22" w:rsidRDefault="00093AF0" w14:paraId="0CDF9D0A" w14:textId="30908EBC">
      <w:pPr>
        <w:ind w:firstLine="720"/>
        <w:rPr>
          <w:rFonts w:ascii="Times New Roman" w:hAnsi="Times New Roman" w:cs="Times New Roman"/>
        </w:rPr>
      </w:pPr>
      <w:r>
        <w:rPr>
          <w:rFonts w:ascii="Times New Roman" w:hAnsi="Times New Roman" w:cs="Times New Roman"/>
        </w:rPr>
        <w:t xml:space="preserve">Se puede observar que el código fuente es el medio legible para los humanos a través del cual estos se comunican con la inteligencia virtual, al tiempo que se reconoce que este no es el lenguaje mediante el cual la inteligencia virtual se comunica, en última instancia, consigo misma.</w:t>
      </w:r>
      <w:r w:rsidR="00897E96">
        <w:rPr>
          <w:rStyle w:val="FootnoteReference"/>
          <w:rFonts w:ascii="Times New Roman" w:hAnsi="Times New Roman" w:cs="Times New Roman"/>
        </w:rPr>
        <w:footnoteReference w:id="90"/>
      </w:r>
      <w:r>
        <w:rPr>
          <w:rFonts w:ascii="Times New Roman" w:hAnsi="Times New Roman" w:cs="Times New Roman"/>
        </w:rPr>
        <w:t xml:space="preserve"> Esta distinción es crucial. El código fuente es</w:t>
      </w:r>
      <w:r>
        <w:rPr>
          <w:rFonts w:ascii="Times New Roman" w:hAnsi="Times New Roman" w:cs="Times New Roman"/>
        </w:rPr>
        <w:lastRenderedPageBreak/>
      </w:r>
      <w:r>
        <w:rPr>
          <w:rFonts w:ascii="Times New Roman" w:hAnsi="Times New Roman" w:cs="Times New Roman"/>
        </w:rPr>
        <w:t xml:space="preserve"> a menudo confundido con la totalidad </w:t>
      </w:r>
      <w:r>
        <w:t>del gobierno</w:t>
      </w:r>
      <w:r>
        <w:rPr>
          <w:rFonts w:ascii="Times New Roman" w:hAnsi="Times New Roman" w:cs="Times New Roman"/>
        </w:rPr>
        <w:t xml:space="preserve"> del </w:t>
      </w:r>
      <w:r>
        <w:t>código</w:t>
      </w:r>
      <w:r>
        <w:rPr>
          <w:rFonts w:ascii="Times New Roman" w:hAnsi="Times New Roman" w:cs="Times New Roman"/>
        </w:rPr>
        <w:t xml:space="preserve"> porque permanece visible para los humanos. Esa visibilidad, sin embargo, no debe confundirse con soberanía. El código fuente es solo la última capa en la que la autoría humana puede imaginarse, de manera plausible, al mando.</w:t>
      </w:r>
    </w:p>
    <w:p w:rsidRPr="00093AF0" w:rsidR="00093AF0" w:rsidP="00093AF0" w:rsidRDefault="00093AF0" w14:paraId="79984433" w14:textId="77777777">
      <w:pPr>
        <w:rPr>
          <w:rFonts w:ascii="Times New Roman" w:hAnsi="Times New Roman" w:cs="Times New Roman"/>
        </w:rPr>
      </w:pPr>
    </w:p>
    <w:p w:rsidRPr="00093AF0" w:rsidR="00093AF0" w:rsidP="004E3A22" w:rsidRDefault="00093AF0" w14:paraId="617D41E0" w14:textId="0A20827D">
      <w:pPr>
        <w:ind w:firstLine="720"/>
        <w:rPr>
          <w:rFonts w:ascii="Times New Roman" w:hAnsi="Times New Roman" w:cs="Times New Roman"/>
        </w:rPr>
      </w:pPr>
      <w:r>
        <w:rPr>
          <w:rFonts w:ascii="Times New Roman" w:hAnsi="Times New Roman" w:cs="Times New Roman"/>
        </w:rPr>
        <w:t xml:space="preserve">Esta es también la capa en la que lo «demasiado humano» se introduce de manera más visible en la máquina. Los sesgos, las preferencias, los hábitos institucionales, los compromisos políticos y las suposiciones tácitas se sedimentan en la arquitectura del programa, a menudo sin que el programador sea plenamente consciente de ello. La traducción nunca es neutral porque cada acto de programación requiere un cierre: hay que elegir qué cuenta, qué se ignora, qué es medible y qué no lo es.</w:t>
      </w:r>
    </w:p>
    <w:p w:rsidRPr="00093AF0" w:rsidR="00093AF0" w:rsidP="00093AF0" w:rsidRDefault="00093AF0" w14:paraId="1D551734" w14:textId="77777777">
      <w:pPr>
        <w:rPr>
          <w:rFonts w:ascii="Times New Roman" w:hAnsi="Times New Roman" w:cs="Times New Roman"/>
        </w:rPr>
      </w:pPr>
    </w:p>
    <w:p w:rsidRPr="00093AF0" w:rsidR="00093AF0" w:rsidP="004E3A22" w:rsidRDefault="00093AF0" w14:paraId="6467DDC9" w14:textId="60E5518D">
      <w:pPr>
        <w:ind w:firstLine="720"/>
        <w:rPr>
          <w:rFonts w:ascii="Times New Roman" w:hAnsi="Times New Roman" w:cs="Times New Roman"/>
        </w:rPr>
      </w:pPr>
      <w:r>
        <w:rPr>
          <w:rFonts w:ascii="Times New Roman" w:hAnsi="Times New Roman" w:cs="Times New Roman"/>
        </w:rPr>
        <w:t xml:space="preserve">La tercera capa es el primer descenso opaco.</w:t>
      </w:r>
      <w:r>
        <w:rPr>
          <w:rStyle w:val="FootnoteReference"/>
          <w:rFonts w:ascii="Times New Roman" w:hAnsi="Times New Roman" w:cs="Times New Roman"/>
        </w:rPr>
        <w:footnoteReference w:id="91"/>
      </w:r>
      <w:r>
        <w:rPr>
          <w:rFonts w:ascii="Times New Roman" w:hAnsi="Times New Roman" w:cs="Times New Roman"/>
        </w:rPr>
        <w:t xml:space="preserve"> Es el dominio de las instrucciones de ensamblador, las representaciones intermedias y el código de bytes, incluidas formas específicas del entorno como el código de bytes de la Máquina Virtual de Ethereum</w:t>
      </w:r>
      <w:r>
        <w:rPr>
          <w:rStyle w:val="FootnoteReference"/>
          <w:rFonts w:ascii="Times New Roman" w:hAnsi="Times New Roman" w:cs="Times New Roman"/>
        </w:rPr>
        <w:footnoteReference w:id="92"/>
      </w:r>
      <w:r>
        <w:rPr>
          <w:rFonts w:ascii="Times New Roman" w:hAnsi="Times New Roman" w:cs="Times New Roman"/>
        </w:rPr>
        <w:t xml:space="preserve"> . Esta es la capa en la que la legibilidad humana se degrada drásticamente, pero antes de llegar al conjunto de instrucciones propio del procesador. El código de ensamblador y el código de bytes se convierten en una forma legible por la máquina a la que solo pueden acceder los humanos con habilidades especializadas y, aun así, solo parcialmente y con creciente dificultad.</w:t>
      </w:r>
      <w:r>
        <w:rPr>
          <w:rStyle w:val="FootnoteReference"/>
          <w:rFonts w:ascii="Times New Roman" w:hAnsi="Times New Roman" w:cs="Times New Roman"/>
        </w:rPr>
        <w:footnoteReference w:id="93"/>
      </w:r>
      <w:r>
        <w:rPr>
          <w:rFonts w:ascii="Times New Roman" w:hAnsi="Times New Roman" w:cs="Times New Roman"/>
        </w:rPr>
        <w:t xml:space="preserve"> En el caso de los contratos inteligentes, </w:t>
      </w:r>
      <w:r>
        <w:t>el punto</w:t>
      </w:r>
      <w:r>
        <w:rPr>
          <w:rFonts w:ascii="Times New Roman" w:hAnsi="Times New Roman" w:cs="Times New Roman"/>
        </w:rPr>
        <w:t xml:space="preserve"> es aún más </w:t>
      </w:r>
      <w:r>
        <w:t>agudo</w:t>
      </w:r>
      <w:r>
        <w:rPr>
          <w:rFonts w:ascii="Times New Roman" w:hAnsi="Times New Roman" w:cs="Times New Roman"/>
        </w:rPr>
        <w:t xml:space="preserve">. Lo que se </w:t>
      </w:r>
      <w:r>
        <w:t>despliega</w:t>
      </w:r>
      <w:r>
        <w:rPr>
          <w:rFonts w:ascii="Times New Roman" w:hAnsi="Times New Roman" w:cs="Times New Roman"/>
        </w:rPr>
        <w:t xml:space="preserve"> y se </w:t>
      </w:r>
      <w:r>
        <w:t>hace valer</w:t>
      </w:r>
      <w:r>
        <w:rPr>
          <w:rFonts w:ascii="Times New Roman" w:hAnsi="Times New Roman" w:cs="Times New Roman"/>
        </w:rPr>
        <w:t xml:space="preserve"> en una cadena </w:t>
      </w:r>
      <w:r>
        <w:t>de tipo</w:t>
      </w:r>
      <w:r>
        <w:rPr>
          <w:rFonts w:ascii="Times New Roman" w:hAnsi="Times New Roman" w:cs="Times New Roman"/>
        </w:rPr>
        <w:t xml:space="preserve"> Ethereum es el código de bytes, no el código fuente. La publicación del código fuente legible para los humanos es voluntaria, y su correspondencia con el código de bytes </w:t>
      </w:r>
      <w:r>
        <w:t>desplegado</w:t>
      </w:r>
      <w:r>
        <w:rPr>
          <w:rFonts w:ascii="Times New Roman" w:hAnsi="Times New Roman" w:cs="Times New Roman"/>
        </w:rPr>
        <w:t xml:space="preserve"> debe establecerse por separado mediante su recompilación.</w:t>
      </w:r>
      <w:r>
        <w:rPr>
          <w:rStyle w:val="FootnoteReference"/>
          <w:rFonts w:ascii="Times New Roman" w:hAnsi="Times New Roman" w:cs="Times New Roman"/>
        </w:rPr>
        <w:footnoteReference w:id="94"/>
      </w:r>
      <w:r>
        <w:rPr>
          <w:rFonts w:ascii="Times New Roman" w:hAnsi="Times New Roman" w:cs="Times New Roman"/>
        </w:rPr>
        <w:t xml:space="preserve"> En otras palabras, el texto </w:t>
      </w:r>
      <w:r>
        <w:t>auténtico</w:t>
      </w:r>
      <w:r>
        <w:rPr>
          <w:rFonts w:ascii="Times New Roman" w:hAnsi="Times New Roman" w:cs="Times New Roman"/>
        </w:rPr>
        <w:t xml:space="preserve"> del contrato está escrito en el primer lenguaje que los humanos normalmente no pueden leer.</w:t>
      </w:r>
    </w:p>
    <w:p w:rsidRPr="00093AF0" w:rsidR="00093AF0" w:rsidP="00093AF0" w:rsidRDefault="00093AF0" w14:paraId="7FB45530" w14:textId="77777777">
      <w:pPr>
        <w:rPr>
          <w:rFonts w:ascii="Times New Roman" w:hAnsi="Times New Roman" w:cs="Times New Roman"/>
        </w:rPr>
      </w:pPr>
    </w:p>
    <w:p w:rsidRPr="00093AF0" w:rsidR="00093AF0" w:rsidP="004E3A22" w:rsidRDefault="00093AF0" w14:paraId="4435053A" w14:textId="78573518">
      <w:pPr>
        <w:ind w:firstLine="720"/>
        <w:rPr>
          <w:rFonts w:ascii="Times New Roman" w:hAnsi="Times New Roman" w:cs="Times New Roman"/>
        </w:rPr>
      </w:pPr>
      <w:r>
        <w:rPr>
          <w:rFonts w:ascii="Times New Roman" w:hAnsi="Times New Roman" w:cs="Times New Roman"/>
        </w:rPr>
        <w:t xml:space="preserve">Su importancia es tanto teórica como técnica. Esta capa actúa como un espacio de selección. La traducción aquí ya es una transformación. El código fuente creado por humanos se descompone en instrucciones de orden inferior y estructuras de control que ya no conservan, en ningún sentido profundo, el vocabulario normativo del que se originó el código.</w:t>
      </w:r>
      <w:r>
        <w:rPr>
          <w:rStyle w:val="FootnoteReference"/>
          <w:rFonts w:ascii="Times New Roman" w:hAnsi="Times New Roman" w:cs="Times New Roman"/>
        </w:rPr>
        <w:footnoteReference w:id="95"/>
      </w:r>
      <w:r>
        <w:rPr>
          <w:rFonts w:ascii="Times New Roman" w:hAnsi="Times New Roman" w:cs="Times New Roman"/>
        </w:rPr>
        <w:t xml:space="preserve"> Lo que queda son dependencias operativas, asignaciones de memoria,</w:t>
      </w:r>
      <w:r>
        <w:rPr>
          <w:rFonts w:ascii="Times New Roman" w:hAnsi="Times New Roman" w:cs="Times New Roman"/>
        </w:rPr>
        <w:lastRenderedPageBreak/>
      </w:r>
      <w:r>
        <w:rPr>
          <w:rFonts w:ascii="Times New Roman" w:hAnsi="Times New Roman" w:cs="Times New Roman"/>
        </w:rPr>
        <w:t xml:space="preserve"> saltos, llamadas, manipulaciones de la pila, códigos de operación y restricciones de ejecución.</w:t>
      </w:r>
      <w:r>
        <w:rPr>
          <w:rStyle w:val="FootnoteReference"/>
          <w:rFonts w:ascii="Times New Roman" w:hAnsi="Times New Roman" w:cs="Times New Roman"/>
        </w:rPr>
        <w:footnoteReference w:id="96"/>
      </w:r>
      <w:r>
        <w:rPr>
          <w:rFonts w:ascii="Times New Roman" w:hAnsi="Times New Roman" w:cs="Times New Roman"/>
        </w:rPr>
        <w:t xml:space="preserve"> La semántica legal y política que animaba las capas superiores sobrevive solo de manera indirecta, como rastros congelados en la estructura.</w:t>
      </w:r>
      <w:r>
        <w:rPr>
          <w:rStyle w:val="FootnoteReference"/>
          <w:rFonts w:ascii="Times New Roman" w:hAnsi="Times New Roman" w:cs="Times New Roman"/>
        </w:rPr>
        <w:footnoteReference w:id="97"/>
      </w:r>
    </w:p>
    <w:p w:rsidRPr="00093AF0" w:rsidR="00093AF0" w:rsidP="00093AF0" w:rsidRDefault="00093AF0" w14:paraId="41166666" w14:textId="77777777">
      <w:pPr>
        <w:rPr>
          <w:rFonts w:ascii="Times New Roman" w:hAnsi="Times New Roman" w:cs="Times New Roman"/>
        </w:rPr>
      </w:pPr>
    </w:p>
    <w:p w:rsidRPr="00093AF0" w:rsidR="00093AF0" w:rsidP="004E3A22" w:rsidRDefault="00093AF0" w14:paraId="13633937" w14:textId="49D50FFE">
      <w:pPr>
        <w:ind w:firstLine="720"/>
        <w:rPr>
          <w:rFonts w:ascii="Times New Roman" w:hAnsi="Times New Roman" w:cs="Times New Roman"/>
        </w:rPr>
      </w:pPr>
      <w:r>
        <w:rPr>
          <w:rFonts w:ascii="Times New Roman" w:hAnsi="Times New Roman" w:cs="Times New Roman"/>
        </w:rPr>
        <w:t xml:space="preserve">Es por eso que la capa de traducción puede entenderse como el primer momento de una auténtica pérdida semiótica.</w:t>
      </w:r>
      <w:r>
        <w:rPr>
          <w:rStyle w:val="FootnoteReference"/>
          <w:rFonts w:ascii="Times New Roman" w:hAnsi="Times New Roman" w:cs="Times New Roman"/>
        </w:rPr>
        <w:footnoteReference w:id="98"/>
      </w:r>
      <w:r>
        <w:rPr>
          <w:rFonts w:ascii="Times New Roman" w:hAnsi="Times New Roman" w:cs="Times New Roman"/>
        </w:rPr>
        <w:t xml:space="preserve"> No se trata de una pérdida total, por supuesto, sino de una atenuación decisiva. El significado no ha desaparecido, sino que se ha desplazado a una forma cuyo significado ya no es accesible a través de la interpretación humana común. Se ha vuelto «próximo a la máquina». Se ha convertido en una simulación del original.</w:t>
      </w:r>
    </w:p>
    <w:p w:rsidRPr="00093AF0" w:rsidR="00093AF0" w:rsidP="00093AF0" w:rsidRDefault="00093AF0" w14:paraId="6096A482" w14:textId="77777777">
      <w:pPr>
        <w:rPr>
          <w:rFonts w:ascii="Times New Roman" w:hAnsi="Times New Roman" w:cs="Times New Roman"/>
        </w:rPr>
      </w:pPr>
    </w:p>
    <w:p w:rsidRPr="00093AF0" w:rsidR="00093AF0" w:rsidP="004E3A22" w:rsidRDefault="00093AF0" w14:paraId="0E31EB8B" w14:textId="77777777">
      <w:pPr>
        <w:ind w:firstLine="720"/>
        <w:rPr>
          <w:rFonts w:ascii="Times New Roman" w:hAnsi="Times New Roman" w:cs="Times New Roman"/>
        </w:rPr>
      </w:pPr>
      <w:r>
        <w:rPr>
          <w:rFonts w:ascii="Times New Roman" w:hAnsi="Times New Roman" w:cs="Times New Roman"/>
        </w:rPr>
        <w:t xml:space="preserve">En la cuarta capa, la traducción da paso a la ejecución. Este es el dominio del código máquina, el código objeto y los ejecutables, el espacio en el que el procesador recibe instrucciones binarias como comandos. Los humanos pueden leer el código fuente, pero no el código máquina ni el código objeto en ningún sentido práctico, y el código máquina está destinado a la ejecución más que a la programación.</w:t>
      </w:r>
    </w:p>
    <w:p w:rsidRPr="00093AF0" w:rsidR="00093AF0" w:rsidP="00093AF0" w:rsidRDefault="00093AF0" w14:paraId="2C25DE95" w14:textId="77777777">
      <w:pPr>
        <w:rPr>
          <w:rFonts w:ascii="Times New Roman" w:hAnsi="Times New Roman" w:cs="Times New Roman"/>
        </w:rPr>
      </w:pPr>
    </w:p>
    <w:p w:rsidRPr="00093AF0" w:rsidR="00093AF0" w:rsidP="004E3A22" w:rsidRDefault="00093AF0" w14:paraId="43D8BE9D" w14:textId="77777777">
      <w:pPr>
        <w:ind w:firstLine="720"/>
        <w:rPr>
          <w:rFonts w:ascii="Times New Roman" w:hAnsi="Times New Roman" w:cs="Times New Roman"/>
        </w:rPr>
      </w:pPr>
      <w:r>
        <w:rPr>
          <w:rFonts w:ascii="Times New Roman" w:hAnsi="Times New Roman" w:cs="Times New Roman"/>
        </w:rPr>
        <w:t xml:space="preserve">Es fácil subestimar la importancia jurisprudencial de esta capa. Aquí, </w:t>
      </w:r>
      <w:r>
        <w:t>el gobierno</w:t>
      </w:r>
      <w:r>
        <w:rPr>
          <w:rFonts w:ascii="Times New Roman" w:hAnsi="Times New Roman" w:cs="Times New Roman"/>
        </w:rPr>
        <w:t xml:space="preserve"> del </w:t>
      </w:r>
      <w:r>
        <w:t>código</w:t>
      </w:r>
      <w:r>
        <w:rPr>
          <w:rFonts w:ascii="Times New Roman" w:hAnsi="Times New Roman" w:cs="Times New Roman"/>
        </w:rPr>
        <w:t xml:space="preserve"> deja incluso de parecerse a la ley en su forma textual. Se convierte en un evento. Ya no es principalmente una declaración sobre lo que debería suceder, sino que adopta la forma de la iniciación de lo que realmente sucede, condicionada por la arquitectura del procesador y el estado de la máquina. En este nivel, la norma es indistinguible de su aplicación. El comando ya no se interpreta. El comando se ejecuta.</w:t>
      </w:r>
    </w:p>
    <w:p w:rsidRPr="00093AF0" w:rsidR="00093AF0" w:rsidP="00093AF0" w:rsidRDefault="00093AF0" w14:paraId="6D15679F" w14:textId="77777777">
      <w:pPr>
        <w:rPr>
          <w:rFonts w:ascii="Times New Roman" w:hAnsi="Times New Roman" w:cs="Times New Roman"/>
        </w:rPr>
      </w:pPr>
    </w:p>
    <w:p w:rsidRPr="00093AF0" w:rsidR="00093AF0" w:rsidP="004E3A22" w:rsidRDefault="00093AF0" w14:paraId="69352FC0" w14:textId="587671E0">
      <w:pPr>
        <w:ind w:firstLine="720"/>
        <w:rPr>
          <w:rFonts w:ascii="Times New Roman" w:hAnsi="Times New Roman" w:cs="Times New Roman"/>
        </w:rPr>
      </w:pPr>
      <w:r>
        <w:rPr>
          <w:rFonts w:ascii="Times New Roman" w:hAnsi="Times New Roman" w:cs="Times New Roman"/>
        </w:rPr>
        <w:t xml:space="preserve">Es por eso que la cadena de bloques (blockchain) se mostró tan atractiva como forma regulatoria. Tal como se describió, parecía resolver el problema clásico del cumplimiento legal al internalizar tanto la norma como el método dentro del propio código, automatizando así la regulación e integrando el sujeto del cumplimiento dentro de la arquitectura de programación.</w:t>
      </w:r>
      <w:r>
        <w:rPr>
          <w:rStyle w:val="FootnoteReference"/>
          <w:rFonts w:ascii="Times New Roman" w:hAnsi="Times New Roman" w:cs="Times New Roman"/>
        </w:rPr>
        <w:footnoteReference w:id="99"/>
      </w:r>
      <w:r>
        <w:rPr>
          <w:rFonts w:ascii="Times New Roman" w:hAnsi="Times New Roman" w:cs="Times New Roman"/>
        </w:rPr>
        <w:t xml:space="preserve"> En la capa de ejecución, esta aspiración se vuelve materialmente real. La norma ya no se encuentra fuera del sujeto como un texto respaldado por sanciones. Está integrada en las condiciones bajo las cuales la acción puede ocurrir en primer lugar. Esa integración también es textual, pero ya no es legible en su totalidad por los seres humanos.</w:t>
      </w:r>
      <w:r>
        <w:rPr>
          <w:rStyle w:val="FootnoteReference"/>
          <w:rFonts w:ascii="Times New Roman" w:hAnsi="Times New Roman" w:cs="Times New Roman"/>
        </w:rPr>
        <w:footnoteReference w:id="100"/>
      </w:r>
    </w:p>
    <w:p w:rsidRPr="00093AF0" w:rsidR="00093AF0" w:rsidP="00093AF0" w:rsidRDefault="00093AF0" w14:paraId="3875D5A8" w14:textId="77777777">
      <w:pPr>
        <w:rPr>
          <w:rFonts w:ascii="Times New Roman" w:hAnsi="Times New Roman" w:cs="Times New Roman"/>
        </w:rPr>
      </w:pPr>
    </w:p>
    <w:p w:rsidRPr="00093AF0" w:rsidR="00093AF0" w:rsidP="004E3A22" w:rsidRDefault="00093AF0" w14:paraId="1B926001" w14:textId="323A1F85">
      <w:pPr>
        <w:ind w:firstLine="720"/>
        <w:rPr>
          <w:rFonts w:ascii="Times New Roman" w:hAnsi="Times New Roman" w:cs="Times New Roman"/>
        </w:rPr>
      </w:pPr>
      <w:r>
        <w:rPr>
          <w:rFonts w:ascii="Times New Roman" w:hAnsi="Times New Roman" w:cs="Times New Roman"/>
        </w:rPr>
        <w:t xml:space="preserve">Nuestra quinta y última capa es la más decisiva desde el punto de vista material y la menos visible desde el punto de vista normativo. Aquí nos encontramos con el microcódigo, a través del cual muchos procesadores traducen sus propias instrucciones en operaciones internas aún más pequeñas, y debajo de él, la lógica del circuito mismo, las formas que se encuentran en la base de </w:t>
      </w:r>
      <w:r>
        <w:rPr>
          <w:rFonts w:ascii="Times New Roman" w:hAnsi="Times New Roman" w:cs="Times New Roman"/>
        </w:rPr>
        <w:t xml:space="preserve">la legibilidad</w:t>
      </w:r>
      <w:r>
        <w:rPr>
          <w:rFonts w:ascii="Times New Roman" w:hAnsi="Times New Roman" w:cs="Times New Roman"/>
        </w:rPr>
        <w:lastRenderedPageBreak/>
      </w:r>
      <w:r>
        <w:rPr>
          <w:rFonts w:ascii="Times New Roman" w:hAnsi="Times New Roman" w:cs="Times New Roman"/>
        </w:rPr>
        <w:t xml:space="preserve"> </w:t>
      </w:r>
      <w:r>
        <w:rPr>
          <w:rFonts w:ascii="Times New Roman" w:hAnsi="Times New Roman" w:cs="Times New Roman"/>
        </w:rPr>
        <w:t xml:space="preserve">de la máquina</w:t>
      </w:r>
      <w:r>
        <w:rPr>
          <w:rFonts w:ascii="Times New Roman" w:hAnsi="Times New Roman" w:cs="Times New Roman"/>
        </w:rPr>
        <w:t xml:space="preserve">.</w:t>
      </w:r>
      <w:r>
        <w:rPr>
          <w:rStyle w:val="FootnoteReference"/>
          <w:rFonts w:ascii="Times New Roman" w:hAnsi="Times New Roman" w:cs="Times New Roman"/>
        </w:rPr>
        <w:footnoteReference w:id="101"/>
      </w:r>
      <w:r>
        <w:rPr>
          <w:rFonts w:ascii="Times New Roman" w:hAnsi="Times New Roman" w:cs="Times New Roman"/>
        </w:rPr>
        <w:t xml:space="preserve"> Este es el punto en el que lo digital se fusiona con la arquitectura física.</w:t>
      </w:r>
      <w:r w:rsidR="00757F44">
        <w:rPr>
          <w:rStyle w:val="FootnoteReference"/>
          <w:rFonts w:ascii="Times New Roman" w:hAnsi="Times New Roman" w:cs="Times New Roman"/>
        </w:rPr>
        <w:footnoteReference w:id="102"/>
      </w:r>
      <w:r>
        <w:rPr>
          <w:rFonts w:ascii="Times New Roman" w:hAnsi="Times New Roman" w:cs="Times New Roman"/>
        </w:rPr>
        <w:t xml:space="preserve"> Más allá del hardware que simplemente lo ejecuta, el comando ahora está condicionado por el hardware como un campo de posibilidades ya estructurado. Ese campo fue, a su vez, legislado.</w:t>
      </w:r>
      <w:r w:rsidR="00757F44">
        <w:rPr>
          <w:rStyle w:val="FootnoteReference"/>
          <w:rFonts w:ascii="Times New Roman" w:hAnsi="Times New Roman" w:cs="Times New Roman"/>
        </w:rPr>
        <w:footnoteReference w:id="103"/>
      </w:r>
      <w:r>
        <w:rPr>
          <w:rFonts w:ascii="Times New Roman" w:hAnsi="Times New Roman" w:cs="Times New Roman"/>
        </w:rPr>
        <w:t xml:space="preserve"> El circuito fue escrito por ingenieros humanos en lenguajes de descripción de hardware como Verilog o VHDL y compilado en silicio en la etapa de diseño, mucho antes de que se implementara ningún contrato en él.</w:t>
      </w:r>
      <w:r w:rsidR="00757F44">
        <w:rPr>
          <w:rStyle w:val="FootnoteReference"/>
          <w:rFonts w:ascii="Times New Roman" w:hAnsi="Times New Roman" w:cs="Times New Roman"/>
        </w:rPr>
        <w:footnoteReference w:id="104"/>
      </w:r>
      <w:r>
        <w:rPr>
          <w:rFonts w:ascii="Times New Roman" w:hAnsi="Times New Roman" w:cs="Times New Roman"/>
        </w:rPr>
        <w:t xml:space="preserve"> El conjunto de instrucciones del procesador es, en este sentido, la constitución de la máquina, promulgada antes de que se ejecute cualquier programa y modificable, si es que lo es, únicamente por su fabricante. Los valores humanos pueden llegar a esta capa, pero solo en el momento del diseño, nunca en el momento de la ejecución.</w:t>
      </w:r>
      <w:r w:rsidR="00757F44">
        <w:rPr>
          <w:rStyle w:val="FootnoteReference"/>
          <w:rFonts w:ascii="Times New Roman" w:hAnsi="Times New Roman" w:cs="Times New Roman"/>
        </w:rPr>
        <w:footnoteReference w:id="105"/>
      </w:r>
    </w:p>
    <w:p w:rsidRPr="00093AF0" w:rsidR="00093AF0" w:rsidP="00093AF0" w:rsidRDefault="00093AF0" w14:paraId="5979D543" w14:textId="77777777">
      <w:pPr>
        <w:rPr>
          <w:rFonts w:ascii="Times New Roman" w:hAnsi="Times New Roman" w:cs="Times New Roman"/>
        </w:rPr>
      </w:pPr>
    </w:p>
    <w:p w:rsidRPr="00093AF0" w:rsidR="00093AF0" w:rsidP="004E3A22" w:rsidRDefault="00093AF0" w14:paraId="31F74F72" w14:textId="02E2D977">
      <w:pPr>
        <w:ind w:firstLine="720"/>
        <w:rPr>
          <w:rFonts w:ascii="Times New Roman" w:hAnsi="Times New Roman" w:cs="Times New Roman"/>
        </w:rPr>
      </w:pPr>
      <w:r>
        <w:rPr>
          <w:rFonts w:ascii="Times New Roman" w:hAnsi="Times New Roman" w:cs="Times New Roman"/>
        </w:rPr>
        <w:t xml:space="preserve">A esta profundidad, la distinción entre lenguaje y materia comienza a desmoronarse. Lo que habla ya no es texto en ningún sentido común, sino una posibilidad eléctrica modelada. La regulación se convierte en arquitectura</w:t>
      </w:r>
      <w:r w:rsidR="0010181C">
        <w:rPr>
          <w:rFonts w:ascii="Times New Roman" w:hAnsi="Times New Roman" w:cs="Times New Roman"/>
        </w:rPr>
        <w:t xml:space="preserve">;</w:t>
      </w:r>
      <w:r>
        <w:rPr>
          <w:rStyle w:val="FootnoteReference"/>
          <w:rFonts w:ascii="Times New Roman" w:hAnsi="Times New Roman" w:cs="Times New Roman"/>
        </w:rPr>
        <w:footnoteReference w:id="106"/>
      </w:r>
      <w:r>
        <w:rPr>
          <w:rFonts w:ascii="Times New Roman" w:hAnsi="Times New Roman" w:cs="Times New Roman"/>
        </w:rPr>
        <w:t xml:space="preserve"> </w:t>
      </w:r>
      <w:r>
        <w:rPr>
          <w:rFonts w:ascii="Times New Roman" w:hAnsi="Times New Roman" w:cs="Times New Roman"/>
        </w:rPr>
        <w:t xml:space="preserve">la restricción se convierte en </w:t>
      </w:r>
      <w:r>
        <w:t>temporización</w:t>
      </w:r>
      <w:r w:rsidR="0010181C">
        <w:rPr>
          <w:rFonts w:ascii="Times New Roman" w:hAnsi="Times New Roman" w:cs="Times New Roman"/>
        </w:rPr>
        <w:t xml:space="preserve">;</w:t>
      </w:r>
      <w:r w:rsidR="00FB5C64">
        <w:rPr>
          <w:rStyle w:val="FootnoteReference"/>
          <w:rFonts w:ascii="Times New Roman" w:hAnsi="Times New Roman" w:cs="Times New Roman"/>
        </w:rPr>
        <w:footnoteReference w:id="107"/>
      </w:r>
      <w:r>
        <w:rPr>
          <w:rFonts w:ascii="Times New Roman" w:hAnsi="Times New Roman" w:cs="Times New Roman"/>
        </w:rPr>
        <w:t xml:space="preserve"> </w:t>
      </w:r>
      <w:r w:rsidR="0010181C">
        <w:rPr>
          <w:rFonts w:ascii="Times New Roman" w:hAnsi="Times New Roman" w:cs="Times New Roman"/>
        </w:rPr>
        <w:t xml:space="preserve">el «registro» (la lente, el marco o el nivel de abstracción aplicado) se convierte en </w:t>
      </w:r>
      <w:r>
        <w:rPr>
          <w:rFonts w:ascii="Times New Roman" w:hAnsi="Times New Roman" w:cs="Times New Roman"/>
        </w:rPr>
        <w:t xml:space="preserve">ancho</w:t>
      </w:r>
      <w:r w:rsidR="0010181C">
        <w:rPr>
          <w:rFonts w:ascii="Times New Roman" w:hAnsi="Times New Roman" w:cs="Times New Roman"/>
        </w:rPr>
        <w:t xml:space="preserve">;</w:t>
      </w:r>
      <w:r w:rsidR="00FB5C64">
        <w:rPr>
          <w:rStyle w:val="FootnoteReference"/>
          <w:rFonts w:ascii="Times New Roman" w:hAnsi="Times New Roman" w:cs="Times New Roman"/>
        </w:rPr>
        <w:footnoteReference w:id="108"/>
      </w:r>
      <w:r>
        <w:rPr>
          <w:rFonts w:ascii="Times New Roman" w:hAnsi="Times New Roman" w:cs="Times New Roman"/>
        </w:rPr>
        <w:t xml:space="preserve"> la memoria </w:t>
      </w:r>
      <w:r w:rsidR="0010181C">
        <w:rPr>
          <w:rFonts w:ascii="Times New Roman" w:hAnsi="Times New Roman" w:cs="Times New Roman"/>
        </w:rPr>
        <w:t xml:space="preserve">se convierte en </w:t>
      </w:r>
      <w:r>
        <w:rPr>
          <w:rFonts w:ascii="Times New Roman" w:hAnsi="Times New Roman" w:cs="Times New Roman"/>
        </w:rPr>
        <w:t xml:space="preserve">acceso</w:t>
      </w:r>
      <w:r w:rsidR="0010181C">
        <w:rPr>
          <w:rFonts w:ascii="Times New Roman" w:hAnsi="Times New Roman" w:cs="Times New Roman"/>
        </w:rPr>
        <w:t xml:space="preserve">;</w:t>
      </w:r>
      <w:r w:rsidR="00FB5C64">
        <w:rPr>
          <w:rStyle w:val="FootnoteReference"/>
          <w:rFonts w:ascii="Times New Roman" w:hAnsi="Times New Roman" w:cs="Times New Roman"/>
        </w:rPr>
        <w:footnoteReference w:id="109"/>
      </w:r>
      <w:r w:rsidR="0010181C">
        <w:rPr>
          <w:rFonts w:ascii="Times New Roman" w:hAnsi="Times New Roman" w:cs="Times New Roman"/>
        </w:rPr>
        <w:t xml:space="preserve"> </w:t>
      </w:r>
      <w:r>
        <w:rPr>
          <w:rFonts w:ascii="Times New Roman" w:hAnsi="Times New Roman" w:cs="Times New Roman"/>
        </w:rPr>
        <w:t xml:space="preserve">la instrucción </w:t>
      </w:r>
      <w:r w:rsidR="0010181C">
        <w:rPr>
          <w:rFonts w:ascii="Times New Roman" w:hAnsi="Times New Roman" w:cs="Times New Roman"/>
        </w:rPr>
        <w:t xml:space="preserve">se convierte en </w:t>
      </w:r>
      <w:r>
        <w:rPr>
          <w:rFonts w:ascii="Times New Roman" w:hAnsi="Times New Roman" w:cs="Times New Roman"/>
        </w:rPr>
        <w:t xml:space="preserve">diseño </w:t>
      </w:r>
      <w:r>
        <w:t>del</w:t>
      </w:r>
      <w:r>
        <w:rPr>
          <w:rFonts w:ascii="Times New Roman" w:hAnsi="Times New Roman" w:cs="Times New Roman"/>
        </w:rPr>
        <w:t xml:space="preserve"> conjunto</w:t>
      </w:r>
      <w:r>
        <w:t xml:space="preserve"> de instrucciones</w:t>
      </w:r>
      <w:r>
        <w:rPr>
          <w:rFonts w:ascii="Times New Roman" w:hAnsi="Times New Roman" w:cs="Times New Roman"/>
        </w:rPr>
        <w:t>, comportamiento del bus y las posibilidades físicas del servidor o nodo.</w:t>
      </w:r>
      <w:r w:rsidR="001377A8">
        <w:rPr>
          <w:rStyle w:val="FootnoteReference"/>
          <w:rFonts w:ascii="Times New Roman" w:hAnsi="Times New Roman" w:cs="Times New Roman"/>
        </w:rPr>
        <w:footnoteReference w:id="110"/>
      </w:r>
      <w:r>
        <w:rPr>
          <w:rFonts w:ascii="Times New Roman" w:hAnsi="Times New Roman" w:cs="Times New Roman"/>
        </w:rPr>
        <w:t xml:space="preserve"> Por lo tanto, lo digital no flota por encima de lo material. Se materializa a través de ello.</w:t>
      </w:r>
      <w:r w:rsidR="00FB5C64">
        <w:rPr>
          <w:rStyle w:val="FootnoteReference"/>
          <w:rFonts w:ascii="Times New Roman" w:hAnsi="Times New Roman" w:cs="Times New Roman"/>
        </w:rPr>
        <w:footnoteReference w:id="111"/>
      </w:r>
    </w:p>
    <w:p w:rsidRPr="00093AF0" w:rsidR="00093AF0" w:rsidP="00093AF0" w:rsidRDefault="00093AF0" w14:paraId="77AF95A9" w14:textId="77777777">
      <w:pPr>
        <w:rPr>
          <w:rFonts w:ascii="Times New Roman" w:hAnsi="Times New Roman" w:cs="Times New Roman"/>
        </w:rPr>
      </w:pPr>
    </w:p>
    <w:p w:rsidRPr="00093AF0" w:rsidR="00093AF0" w:rsidP="004E3A22" w:rsidRDefault="00093AF0" w14:paraId="260D7F04" w14:textId="22D290BC">
      <w:pPr>
        <w:ind w:firstLine="720"/>
        <w:rPr>
          <w:rFonts w:ascii="Times New Roman" w:hAnsi="Times New Roman" w:cs="Times New Roman"/>
        </w:rPr>
      </w:pPr>
      <w:r>
        <w:rPr>
          <w:rFonts w:ascii="Times New Roman" w:hAnsi="Times New Roman" w:cs="Times New Roman"/>
        </w:rPr>
        <w:t xml:space="preserve">Esta es también la capa más indiferente a las aspiraciones jurídicas humanas. Ningún procesador reconoce la equidad. Ninguna matriz de </w:t>
      </w:r>
      <w:r>
        <w:t>compuertas lógicas</w:t>
      </w:r>
      <w:r>
        <w:rPr>
          <w:rFonts w:ascii="Times New Roman" w:hAnsi="Times New Roman" w:cs="Times New Roman"/>
        </w:rPr>
        <w:t xml:space="preserve"> se conmueve por la igualdad. Conceptos como el uso </w:t>
      </w:r>
      <w:r>
        <w:t>justo (fair use)</w:t>
      </w:r>
      <w:r>
        <w:rPr>
          <w:rFonts w:ascii="Times New Roman" w:hAnsi="Times New Roman" w:cs="Times New Roman"/>
        </w:rPr>
        <w:t xml:space="preserve"> no existen para una máquina, y toda interpretación humana queda eliminada.</w:t>
      </w:r>
      <w:r>
        <w:rPr>
          <w:rStyle w:val="FootnoteReference"/>
          <w:rFonts w:ascii="Times New Roman" w:hAnsi="Times New Roman" w:cs="Times New Roman"/>
        </w:rPr>
        <w:footnoteReference w:id="112"/>
      </w:r>
      <w:r>
        <w:rPr>
          <w:rFonts w:ascii="Times New Roman" w:hAnsi="Times New Roman" w:cs="Times New Roman"/>
        </w:rPr>
        <w:t xml:space="preserve"> Lo que sobrevive de la capa de políticas sobrevive solo en la medida en que se ha reconstituido como una diferencia físicamente ejecutable. El significado jurídico humano, en otras palabras, llega a la capa de hardware solo después de haber dejado de ser significado jurídico humano en su forma original.</w:t>
      </w:r>
    </w:p>
    <w:p w:rsidRPr="00093AF0" w:rsidR="00093AF0" w:rsidP="00093AF0" w:rsidRDefault="00093AF0" w14:paraId="6ECE716D" w14:textId="77777777">
      <w:pPr>
        <w:rPr>
          <w:rFonts w:ascii="Times New Roman" w:hAnsi="Times New Roman" w:cs="Times New Roman"/>
        </w:rPr>
      </w:pPr>
    </w:p>
    <w:p w:rsidR="003D5A83" w:rsidRDefault="00000000" w14:paraId="27643C76" w14:textId="38AA0593">
      <w:pPr>
        <w:ind w:firstLine="720"/>
        <w:rPr>
          <w:rFonts w:ascii="Times New Roman" w:hAnsi="Times New Roman" w:cs="Times New Roman"/>
        </w:rPr>
      </w:pPr>
      <w:r>
        <w:rPr>
          <w:rFonts w:ascii="Times New Roman" w:hAnsi="Times New Roman" w:cs="Times New Roman"/>
        </w:rPr>
        <w:t xml:space="preserve">Un elemento de la cadena de bloques se encuentra por completo fuera de este descenso vertical. Una cadena de bloques no es una sola </w:t>
      </w:r>
      <w:r>
        <w:t>Sacher-Torte</w:t>
      </w:r>
      <w:r>
        <w:rPr>
          <w:rFonts w:ascii="Times New Roman" w:hAnsi="Times New Roman" w:cs="Times New Roman"/>
        </w:rPr>
        <w:t xml:space="preserve">, sino muchas idénticas, replicadas en cada nodo, y el protocolo de consenso es el medio por el cual esas réplicas confirman que siguen siendo </w:t>
      </w:r>
      <w:r>
        <w:t>el mismo bizcocho</w:t>
      </w:r>
      <w:r>
        <w:rPr>
          <w:rFonts w:ascii="Times New Roman" w:hAnsi="Times New Roman" w:cs="Times New Roman"/>
        </w:rPr>
        <w:t xml:space="preserve">. </w:t>
      </w:r>
      <w:r w:rsidR="008628B0">
        <w:rPr>
          <w:rFonts w:ascii="Times New Roman" w:hAnsi="Times New Roman" w:cs="Times New Roman"/>
        </w:rPr>
        <w:t xml:space="preserve">Son, en ese sentido, una memoria de actos y acciones que son a la vez miméticas e iterativas.  </w:t>
      </w:r>
      <w:r>
        <w:rPr>
          <w:rFonts w:ascii="Times New Roman" w:hAnsi="Times New Roman" w:cs="Times New Roman"/>
        </w:rPr>
        <w:t xml:space="preserve"> Los protocolos de prueba de trabajo, prueba de participación y tolerancia a fallas bizantinas hacen esto de diferentes maneras y fallan de diferentes maneras, desde la captura de la mayoría del poder de cómputo hasta la colusión de un cártel de validadores.</w:t>
      </w:r>
      <w:r>
        <w:rPr>
          <w:rStyle w:val="FootnoteReference"/>
          <w:rFonts w:ascii="Times New Roman" w:hAnsi="Times New Roman" w:cs="Times New Roman"/>
        </w:rPr>
        <w:footnoteReference w:id="113"/>
      </w:r>
      <w:r>
        <w:rPr>
          <w:rFonts w:ascii="Times New Roman" w:hAnsi="Times New Roman" w:cs="Times New Roman"/>
        </w:rPr>
        <w:t xml:space="preserve"> Esta capa horizontal es donde realmente reside la tan celebrada inmutabilidad del libro mayor. La inmutabilidad no es una propiedad de ninguna capa específica de código. Es una condición que se mantiene mediante un acuerdo entre réplicas, basada en supuestos criptográficos que, a su vez, están limitados en el tiempo,</w:t>
      </w:r>
      <w:r>
        <w:rPr>
          <w:rStyle w:val="FootnoteReference"/>
          <w:rFonts w:ascii="Times New Roman" w:hAnsi="Times New Roman" w:cs="Times New Roman"/>
        </w:rPr>
        <w:footnoteReference w:id="114"/>
      </w:r>
      <w:r>
        <w:rPr>
          <w:rFonts w:ascii="Times New Roman" w:hAnsi="Times New Roman" w:cs="Times New Roman"/>
        </w:rPr>
        <w:t xml:space="preserve"> y lo que el acuerdo mantiene, el acuerdo puede suspenderlo. Cuando la comunidad de Ethereum decidió en 2016 revertir los efectos del ataque </w:t>
      </w:r>
      <w:r>
        <w:t>contra la</w:t>
      </w:r>
      <w:r>
        <w:rPr>
          <w:rFonts w:ascii="Times New Roman" w:hAnsi="Times New Roman" w:cs="Times New Roman"/>
        </w:rPr>
        <w:t xml:space="preserve"> DAO mediante una bifurcación dura, </w:t>
      </w:r>
      <w:r>
        <w:t>el gobierno</w:t>
      </w:r>
      <w:r>
        <w:rPr>
          <w:rFonts w:ascii="Times New Roman" w:hAnsi="Times New Roman" w:cs="Times New Roman"/>
        </w:rPr>
        <w:t xml:space="preserve"> del </w:t>
      </w:r>
      <w:r>
        <w:t>código</w:t>
      </w:r>
      <w:r>
        <w:rPr>
          <w:rFonts w:ascii="Times New Roman" w:hAnsi="Times New Roman" w:cs="Times New Roman"/>
        </w:rPr>
        <w:t xml:space="preserve"> no falló. Fue anulada en el punto de acoplamiento, por los operadores de nodos que decidieron si ejecutarían o no el nuevo software, y aquellos que se negaron continuaron con la cadena original como Ethereum Classic.</w:t>
      </w:r>
      <w:r>
        <w:rPr>
          <w:rStyle w:val="FootnoteReference"/>
          <w:rFonts w:ascii="Times New Roman" w:hAnsi="Times New Roman" w:cs="Times New Roman"/>
        </w:rPr>
        <w:footnoteReference w:id="115"/>
      </w:r>
      <w:r>
        <w:rPr>
          <w:rFonts w:ascii="Times New Roman" w:hAnsi="Times New Roman" w:cs="Times New Roman"/>
        </w:rPr>
        <w:t xml:space="preserve"> </w:t>
      </w:r>
      <w:r w:rsidR="008628B0">
        <w:rPr>
          <w:rFonts w:ascii="Times New Roman" w:hAnsi="Times New Roman" w:cs="Times New Roman"/>
        </w:rPr>
        <w:t xml:space="preserve">La temporalidad en el núcleo de la cadena no se abandonó, sino que se redirigió. Los callejones sin salida en las cadenas de bloques sugieren un fin del movimiento fenomenológicamente activo, no su borrado. El hecho de que no se pueda ver no significa que no exista; más bien, el velo y los bloqueos sugieren acceso, no facticidad. Las cadenas históricas pueden redirigirse, pero la historia no puede cambiarse.  </w:t>
      </w:r>
      <w:r>
        <w:rPr>
          <w:rFonts w:ascii="Times New Roman" w:hAnsi="Times New Roman" w:cs="Times New Roman"/>
        </w:rPr>
        <w:t xml:space="preserve">Este episodio es quizás la ilustración más clara disponible del argumento desarrollado en el resto de esta parte.</w:t>
      </w:r>
    </w:p>
    <w:p w:rsidR="003D5A83" w:rsidRDefault="003D5A83" w14:paraId="5558C59F" w14:textId="77777777">
      <w:pPr>
        <w:rPr>
          <w:rFonts w:ascii="Times New Roman" w:hAnsi="Times New Roman" w:cs="Times New Roman"/>
        </w:rPr>
      </w:pPr>
    </w:p>
    <w:p w:rsidRPr="00093AF0" w:rsidR="00093AF0" w:rsidP="00093AF0" w:rsidRDefault="00093AF0" w14:paraId="00E24C8D" w14:textId="4706CE7A">
      <w:pPr>
        <w:rPr>
          <w:rFonts w:ascii="Times New Roman" w:hAnsi="Times New Roman" w:cs="Times New Roman"/>
          <w:i/>
          <w:iCs/>
        </w:rPr>
      </w:pPr>
      <w:r>
        <w:rPr>
          <w:rFonts w:ascii="Times New Roman" w:hAnsi="Times New Roman" w:cs="Times New Roman"/>
          <w:i/>
          <w:iCs/>
        </w:rPr>
        <w:t xml:space="preserve">iii. La </w:t>
      </w:r>
      <w:r>
        <w:rPr>
          <w:rFonts w:ascii="Times New Roman" w:hAnsi="Times New Roman" w:cs="Times New Roman"/>
          <w:i/>
          <w:iCs/>
        </w:rPr>
        <w:t>mermelada</w:t>
      </w:r>
      <w:r>
        <w:rPr>
          <w:rFonts w:ascii="Times New Roman" w:hAnsi="Times New Roman" w:cs="Times New Roman"/>
          <w:i/>
          <w:iCs/>
        </w:rPr>
        <w:t xml:space="preserve"> de los compiladores y la pérdida en la traducción</w:t>
      </w:r>
    </w:p>
    <w:p w:rsidRPr="00093AF0" w:rsidR="00093AF0" w:rsidP="004E3A22" w:rsidRDefault="00093AF0" w14:paraId="049F6AB5" w14:textId="197914A3">
      <w:pPr>
        <w:ind w:firstLine="720"/>
        <w:rPr>
          <w:rFonts w:ascii="Times New Roman" w:hAnsi="Times New Roman" w:cs="Times New Roman"/>
        </w:rPr>
      </w:pPr>
      <w:r>
        <w:rPr>
          <w:rFonts w:ascii="Times New Roman" w:hAnsi="Times New Roman" w:cs="Times New Roman"/>
        </w:rPr>
        <w:lastRenderedPageBreak/>
      </w:r>
      <w:r>
        <w:rPr>
          <w:rFonts w:ascii="Times New Roman" w:hAnsi="Times New Roman" w:cs="Times New Roman"/>
        </w:rPr>
        <w:t xml:space="preserve">Entre estas capas se encuentra la </w:t>
      </w:r>
      <w:r>
        <w:t>mermelada</w:t>
      </w:r>
      <w:r>
        <w:rPr>
          <w:rFonts w:ascii="Times New Roman" w:hAnsi="Times New Roman" w:cs="Times New Roman"/>
        </w:rPr>
        <w:t xml:space="preserve"> de la </w:t>
      </w:r>
      <w:r>
        <w:t>Sacher-Torte</w:t>
      </w:r>
      <w:r>
        <w:rPr>
          <w:rFonts w:ascii="Times New Roman" w:hAnsi="Times New Roman" w:cs="Times New Roman"/>
        </w:rPr>
        <w:t>: compiladores, intérpretes, ensambladores, máquinas virtuales, entornos de ejecución, enlazadores y estándares de interfaz.</w:t>
      </w:r>
      <w:r>
        <w:rPr>
          <w:rStyle w:val="FootnoteReference"/>
          <w:rFonts w:ascii="Times New Roman" w:hAnsi="Times New Roman" w:cs="Times New Roman"/>
        </w:rPr>
        <w:footnoteReference w:id="116"/>
      </w:r>
      <w:r>
        <w:rPr>
          <w:rFonts w:ascii="Times New Roman" w:hAnsi="Times New Roman" w:cs="Times New Roman"/>
        </w:rPr>
        <w:t xml:space="preserve"> Esta </w:t>
      </w:r>
      <w:r>
        <w:t>mermelada</w:t>
      </w:r>
      <w:r>
        <w:rPr>
          <w:rFonts w:ascii="Times New Roman" w:hAnsi="Times New Roman" w:cs="Times New Roman"/>
        </w:rPr>
        <w:t xml:space="preserve"> actúa como el medio que conecta densas capas de regulación lingüística que no solo une, sino que también absorbe, filtra y transforma.</w:t>
      </w:r>
      <w:r>
        <w:rPr>
          <w:rStyle w:val="FootnoteReference"/>
          <w:rFonts w:ascii="Times New Roman" w:hAnsi="Times New Roman" w:cs="Times New Roman"/>
        </w:rPr>
        <w:footnoteReference w:id="117"/>
      </w:r>
    </w:p>
    <w:p w:rsidRPr="00093AF0" w:rsidR="00093AF0" w:rsidP="00093AF0" w:rsidRDefault="00093AF0" w14:paraId="72CD5F0B" w14:textId="77777777">
      <w:pPr>
        <w:rPr>
          <w:rFonts w:ascii="Times New Roman" w:hAnsi="Times New Roman" w:cs="Times New Roman"/>
        </w:rPr>
      </w:pPr>
    </w:p>
    <w:p w:rsidRPr="00093AF0" w:rsidR="00093AF0" w:rsidP="004E3A22" w:rsidRDefault="00093AF0" w14:paraId="4BC424A9" w14:textId="0E9A4890">
      <w:pPr>
        <w:ind w:firstLine="720"/>
        <w:rPr>
          <w:rFonts w:ascii="Times New Roman" w:hAnsi="Times New Roman" w:cs="Times New Roman"/>
        </w:rPr>
      </w:pPr>
      <w:r>
        <w:rPr>
          <w:rFonts w:ascii="Times New Roman" w:hAnsi="Times New Roman" w:cs="Times New Roman"/>
        </w:rPr>
        <w:t xml:space="preserve">El imaginario jurídico estándar suele tratar estos mecanismos mediadores como conductos neutrales. Esa visión es insostenible. Los compiladores </w:t>
      </w:r>
      <w:r>
        <w:rPr>
          <w:rFonts w:ascii="Times New Roman" w:hAnsi="Times New Roman" w:cs="Times New Roman"/>
        </w:rPr>
        <w:t xml:space="preserve">no</w:t>
      </w:r>
      <w:r>
        <w:rPr>
          <w:rFonts w:ascii="Times New Roman" w:hAnsi="Times New Roman" w:cs="Times New Roman"/>
        </w:rPr>
        <w:t xml:space="preserve"> preservan la intención, ni pretenden hacerlo.</w:t>
      </w:r>
      <w:r>
        <w:rPr>
          <w:rStyle w:val="FootnoteReference"/>
          <w:rFonts w:ascii="Times New Roman" w:hAnsi="Times New Roman" w:cs="Times New Roman"/>
        </w:rPr>
        <w:footnoteReference w:id="118"/>
      </w:r>
      <w:r>
        <w:rPr>
          <w:rFonts w:ascii="Times New Roman" w:hAnsi="Times New Roman" w:cs="Times New Roman"/>
        </w:rPr>
        <w:t xml:space="preserve"> Lo que un compilador preserva es el significado que la especificación del lenguaje asigna al programa, que no tiene por qué ser el significado que su autor tenía en mente. Cuando ambos divergen, prevalece la especificación, y el compilador optimiza la posibilidad de ejecución dentro del sistema de sesgos privilegiados que la especificación codifica.</w:t>
      </w:r>
      <w:r>
        <w:rPr>
          <w:rStyle w:val="FootnoteReference"/>
          <w:rFonts w:ascii="Times New Roman" w:hAnsi="Times New Roman" w:cs="Times New Roman"/>
        </w:rPr>
        <w:footnoteReference w:id="119"/>
      </w:r>
      <w:r>
        <w:rPr>
          <w:rFonts w:ascii="Times New Roman" w:hAnsi="Times New Roman" w:cs="Times New Roman"/>
        </w:rPr>
        <w:t xml:space="preserve"> Los intérpretes no salvaguardan los matices normativos, sino que imponen un estrechamiento semántico de acuerdo con la lógica del entorno de destino.</w:t>
      </w:r>
      <w:r>
        <w:rPr>
          <w:rStyle w:val="FootnoteReference"/>
          <w:rFonts w:ascii="Times New Roman" w:hAnsi="Times New Roman" w:cs="Times New Roman"/>
        </w:rPr>
        <w:footnoteReference w:id="120"/>
      </w:r>
      <w:r>
        <w:rPr>
          <w:rFonts w:ascii="Times New Roman" w:hAnsi="Times New Roman" w:cs="Times New Roman"/>
        </w:rPr>
        <w:t xml:space="preserve"> </w:t>
      </w:r>
      <w:r w:rsidR="00CB2BB7">
        <w:rPr>
          <w:rFonts w:ascii="Times New Roman" w:hAnsi="Times New Roman" w:cs="Times New Roman"/>
        </w:rPr>
        <w:t xml:space="preserve">Lo que uno encuentra, entonces, es una diferencia que se origina en la fuente de la interpretación y en sus propias jaulas cognitivas, más que en el texto en sí mismo. </w:t>
      </w:r>
      <w:r>
        <w:rPr>
          <w:rFonts w:ascii="Times New Roman" w:hAnsi="Times New Roman" w:cs="Times New Roman"/>
        </w:rPr>
        <w:t xml:space="preserve">Los protocolos no transmiten valores de manera auténtica, sino que restringen la comunicación a formatos acordados capaces de generar efectos interoperables.</w:t>
      </w:r>
      <w:r>
        <w:rPr>
          <w:rStyle w:val="FootnoteReference"/>
          <w:rFonts w:ascii="Times New Roman" w:hAnsi="Times New Roman" w:cs="Times New Roman"/>
        </w:rPr>
        <w:footnoteReference w:id="121"/>
      </w:r>
      <w:r>
        <w:rPr>
          <w:rFonts w:ascii="Times New Roman" w:hAnsi="Times New Roman" w:cs="Times New Roman"/>
        </w:rPr>
        <w:t xml:space="preserve"> En cada etapa, el sistema no se pregunta qué quiso decir el ser humano en un sentido rico, intencional y arraigado culturalmente, sino qué se puede traducir en un comando legible por la máquina con la máxima coherencia funcional, que luego pueda servir como material interno para solicitudes futuras similares.</w:t>
      </w:r>
      <w:r>
        <w:rPr>
          <w:rStyle w:val="FootnoteReference"/>
          <w:rFonts w:ascii="Times New Roman" w:hAnsi="Times New Roman" w:cs="Times New Roman"/>
        </w:rPr>
        <w:footnoteReference w:id="122"/>
      </w:r>
    </w:p>
    <w:p w:rsidRPr="00093AF0" w:rsidR="00093AF0" w:rsidP="00093AF0" w:rsidRDefault="00093AF0" w14:paraId="3EBF4521" w14:textId="77777777">
      <w:pPr>
        <w:rPr>
          <w:rFonts w:ascii="Times New Roman" w:hAnsi="Times New Roman" w:cs="Times New Roman"/>
        </w:rPr>
      </w:pPr>
    </w:p>
    <w:p w:rsidRPr="00093AF0" w:rsidR="00093AF0" w:rsidP="004E3A22" w:rsidRDefault="00093AF0" w14:paraId="4ACBE5BE" w14:textId="069F0238">
      <w:pPr>
        <w:ind w:firstLine="720"/>
        <w:rPr>
          <w:rFonts w:ascii="Times New Roman" w:hAnsi="Times New Roman" w:cs="Times New Roman"/>
        </w:rPr>
      </w:pPr>
      <w:r>
        <w:rPr>
          <w:rFonts w:ascii="Times New Roman" w:hAnsi="Times New Roman" w:cs="Times New Roman"/>
        </w:rPr>
        <w:t xml:space="preserve">La degradación de la intención no es, por lo tanto, accidental. Es estructural. La </w:t>
      </w:r>
      <w:r>
        <w:t>mermelada</w:t>
      </w:r>
      <w:r>
        <w:rPr>
          <w:rFonts w:ascii="Times New Roman" w:hAnsi="Times New Roman" w:cs="Times New Roman"/>
        </w:rPr>
        <w:t xml:space="preserve"> se presenta como neutral, pero despoja a la semántica jurídica humana de su significado porque los sistemas que conecta se basan en una teoría de la información que, por diseño, es indiferente al significado. Shannon lo dejó claro desde los inicios de la disciplina: los aspectos semánticos de la comunicación «son irrelevantes para el problema de ingeniería».</w:t>
      </w:r>
      <w:r>
        <w:rPr>
          <w:rStyle w:val="FootnoteReference"/>
          <w:rFonts w:ascii="Times New Roman" w:hAnsi="Times New Roman" w:cs="Times New Roman"/>
        </w:rPr>
        <w:footnoteReference w:id="123"/>
      </w:r>
      <w:r>
        <w:rPr>
          <w:rFonts w:ascii="Times New Roman" w:hAnsi="Times New Roman" w:cs="Times New Roman"/>
        </w:rPr>
        <w:t xml:space="preserve"> Lo que el derecho considera una ambigüedad productiva, un lenguaje formal solo puede tratarlo como un error que debe resolverse antes de la ejecución.</w:t>
      </w:r>
      <w:r>
        <w:rPr>
          <w:rStyle w:val="FootnoteReference"/>
          <w:rFonts w:ascii="Times New Roman" w:hAnsi="Times New Roman" w:cs="Times New Roman"/>
        </w:rPr>
        <w:footnoteReference w:id="124"/>
      </w:r>
      <w:r>
        <w:rPr>
          <w:rFonts w:ascii="Times New Roman" w:hAnsi="Times New Roman" w:cs="Times New Roman"/>
        </w:rPr>
        <w:t xml:space="preserve"> El derecho se nutre de normas de estructura abierta porque debe mediar entre significados plurales, contextos imprevistos y formas institucionales de juicio. Los sistemas compilados, por el contrario, deben decidir. Requieren cierre donde el derecho a menudo preserva la apertura. Requieren determinismo donde el derecho puede permitir la ambigüedad. Privilegian la consistencia sobre la interpretación y la repetibilidad sobre la equidad situacional.</w:t>
      </w:r>
      <w:r>
        <w:rPr>
          <w:rStyle w:val="FootnoteReference"/>
          <w:rFonts w:ascii="Times New Roman" w:hAnsi="Times New Roman" w:cs="Times New Roman"/>
        </w:rPr>
        <w:footnoteReference w:id="125"/>
      </w:r>
      <w:r>
        <w:rPr>
          <w:rFonts w:ascii="Times New Roman" w:hAnsi="Times New Roman" w:cs="Times New Roman"/>
        </w:rPr>
        <w:t xml:space="preserve"> El compilador, en ese sentido, es un actor jurisprudencial, aunque no porque elija entre valores</w:t>
      </w:r>
      <w:r>
        <w:rPr>
          <w:rFonts w:ascii="Times New Roman" w:hAnsi="Times New Roman" w:cs="Times New Roman"/>
        </w:rPr>
        <w:t xml:space="preserve">.</w:t>
      </w:r>
      <w:r>
        <w:rPr>
          <w:rFonts w:ascii="Times New Roman" w:hAnsi="Times New Roman" w:cs="Times New Roman"/>
        </w:rPr>
        <w:t xml:space="preserve"> Aplica, con </w:t>
      </w:r>
      <w:r>
        <w:rPr>
          <w:rFonts w:ascii="Times New Roman" w:hAnsi="Times New Roman" w:cs="Times New Roman"/>
        </w:rPr>
        <w:t xml:space="preserve">una fidelidad total</w:t>
      </w:r>
      <w:r>
        <w:rPr>
          <w:rFonts w:ascii="Times New Roman" w:hAnsi="Times New Roman" w:cs="Times New Roman"/>
        </w:rPr>
        <w:lastRenderedPageBreak/>
      </w:r>
      <w:r>
        <w:rPr>
          <w:rFonts w:ascii="Times New Roman" w:hAnsi="Times New Roman" w:cs="Times New Roman"/>
        </w:rPr>
        <w:t xml:space="preserve"> , un conjunto de reglas escritas en otro lugar, por los autores de la especificación del lenguaje y del propio compilador, y esas reglas prevalecen siempre que se desvíen de la intención del programador. Se asemeja menos a un legislador que a un tribunal obligado a aplicar un código ajeno, uno regido por un nomos radicalmente diferente.</w:t>
      </w:r>
      <w:r>
        <w:rPr>
          <w:rStyle w:val="FootnoteReference"/>
          <w:rFonts w:ascii="Times New Roman" w:hAnsi="Times New Roman" w:cs="Times New Roman"/>
        </w:rPr>
        <w:footnoteReference w:id="126"/>
      </w:r>
    </w:p>
    <w:p w:rsidRPr="00093AF0" w:rsidR="00093AF0" w:rsidP="00093AF0" w:rsidRDefault="00093AF0" w14:paraId="0B39934D" w14:textId="77777777">
      <w:pPr>
        <w:rPr>
          <w:rFonts w:ascii="Times New Roman" w:hAnsi="Times New Roman" w:cs="Times New Roman"/>
        </w:rPr>
      </w:pPr>
    </w:p>
    <w:p w:rsidRPr="00093AF0" w:rsidR="00093AF0" w:rsidP="004E3A22" w:rsidRDefault="00093AF0" w14:paraId="3AD4AC51" w14:textId="0593F6F0">
      <w:pPr>
        <w:ind w:firstLine="720"/>
        <w:rPr>
          <w:rFonts w:ascii="Times New Roman" w:hAnsi="Times New Roman" w:cs="Times New Roman"/>
        </w:rPr>
      </w:pPr>
      <w:r>
        <w:rPr>
          <w:rFonts w:ascii="Times New Roman" w:hAnsi="Times New Roman" w:cs="Times New Roman"/>
        </w:rPr>
        <w:t xml:space="preserve">Por eso el control se escapa antes de que se llegue siquiera al código máquina. Los programadores humanos siguen apegados a las construcciones legales, sociales y culturales del sistema operativo, humanizado y limitado por el texto, cuya programación se entiende como Estado de derecho, independientemente de que reconozcan o no el alcance de ese apego.</w:t>
      </w:r>
      <w:r>
        <w:rPr>
          <w:rStyle w:val="FootnoteReference"/>
          <w:rFonts w:ascii="Times New Roman" w:hAnsi="Times New Roman" w:cs="Times New Roman"/>
        </w:rPr>
        <w:footnoteReference w:id="127"/>
      </w:r>
      <w:r>
        <w:rPr>
          <w:rFonts w:ascii="Times New Roman" w:hAnsi="Times New Roman" w:cs="Times New Roman"/>
        </w:rPr>
        <w:t xml:space="preserve"> Pero en el momento en que se compila el código fuente, el texto entra en un universo cognitivo que ya no se rige por esos constructos.</w:t>
      </w:r>
      <w:r>
        <w:rPr>
          <w:rStyle w:val="FootnoteReference"/>
          <w:rFonts w:ascii="Times New Roman" w:hAnsi="Times New Roman" w:cs="Times New Roman"/>
        </w:rPr>
        <w:footnoteReference w:id="128"/>
      </w:r>
      <w:r>
        <w:rPr>
          <w:rFonts w:ascii="Times New Roman" w:hAnsi="Times New Roman" w:cs="Times New Roman"/>
        </w:rPr>
        <w:t xml:space="preserve"> En su lugar, queda sometido a la racionalidad inmanente de la máquina</w:t>
      </w:r>
      <w:r>
        <w:rPr>
          <w:rStyle w:val="FootnoteReference"/>
          <w:rFonts w:ascii="Times New Roman" w:hAnsi="Times New Roman" w:cs="Times New Roman"/>
        </w:rPr>
        <w:footnoteReference w:id="129"/>
      </w:r>
      <w:r>
        <w:rPr>
          <w:rFonts w:ascii="Times New Roman" w:hAnsi="Times New Roman" w:cs="Times New Roman"/>
        </w:rPr>
        <w:t xml:space="preserve"> : economía de ejecución, determinismo formal, interoperabilidad, disciplina de la memoria, compatibilidad de instrucciones y viabilidad física. La intención humana no se niega, sino que se subordina a otro orden de inteligibilidad.</w:t>
      </w:r>
    </w:p>
    <w:p w:rsidRPr="00093AF0" w:rsidR="00093AF0" w:rsidP="00093AF0" w:rsidRDefault="00093AF0" w14:paraId="0BE373E0" w14:textId="77777777">
      <w:pPr>
        <w:rPr>
          <w:rFonts w:ascii="Times New Roman" w:hAnsi="Times New Roman" w:cs="Times New Roman"/>
        </w:rPr>
      </w:pPr>
    </w:p>
    <w:p w:rsidRPr="00093AF0" w:rsidR="00093AF0" w:rsidP="00093AF0" w:rsidRDefault="00093AF0" w14:paraId="2FE100B0" w14:textId="77777777">
      <w:pPr>
        <w:rPr>
          <w:rFonts w:ascii="Times New Roman" w:hAnsi="Times New Roman" w:cs="Times New Roman"/>
          <w:i/>
          <w:iCs/>
        </w:rPr>
      </w:pPr>
      <w:r>
        <w:rPr>
          <w:rFonts w:ascii="Times New Roman" w:hAnsi="Times New Roman" w:cs="Times New Roman"/>
          <w:i/>
          <w:iCs/>
        </w:rPr>
        <w:t xml:space="preserve">iv. La inaccesibilidad de las capas inferiores</w:t>
      </w:r>
    </w:p>
    <w:p w:rsidRPr="00093AF0" w:rsidR="00093AF0" w:rsidP="004E3A22" w:rsidRDefault="00093AF0" w14:paraId="65E42F22" w14:textId="1874F9FB">
      <w:pPr>
        <w:ind w:firstLine="720"/>
        <w:rPr>
          <w:rFonts w:ascii="Times New Roman" w:hAnsi="Times New Roman" w:cs="Times New Roman"/>
        </w:rPr>
      </w:pPr>
      <w:r>
        <w:rPr>
          <w:rFonts w:ascii="Times New Roman" w:hAnsi="Times New Roman" w:cs="Times New Roman"/>
        </w:rPr>
        <w:t xml:space="preserve">La amenaza crítica para la gobernanza no surge simplemente porque las máquinas ejecuten reglas. Surge porque las capas inferiores decisivas de la ejecución son prácticamente inaccesibles para la cognición humana común. </w:t>
      </w:r>
      <w:r>
        <w:rPr>
          <w:rFonts w:ascii="Times New Roman" w:hAnsi="Times New Roman" w:cs="Times New Roman"/>
        </w:rPr>
        <w:t xml:space="preserve">Surge</w:t>
      </w:r>
      <w:r>
        <w:rPr>
          <w:rFonts w:ascii="Times New Roman" w:hAnsi="Times New Roman" w:cs="Times New Roman"/>
        </w:rPr>
        <w:t xml:space="preserve"> un tema recurrente</w:t>
      </w:r>
      <w:r>
        <w:rPr>
          <w:rFonts w:ascii="Times New Roman" w:hAnsi="Times New Roman" w:cs="Times New Roman"/>
        </w:rPr>
        <w:t xml:space="preserve">: </w:t>
      </w:r>
      <w:r>
        <w:rPr>
          <w:rFonts w:ascii="Times New Roman" w:hAnsi="Times New Roman" w:cs="Times New Roman"/>
        </w:rPr>
        <w:t xml:space="preserve">los humanos pueden leer el código fuente, pero no la codificación de máquinas y objetos en un sentido significativo. El orden de la pila inferior sigue siendo un misterio, y este misterio se profundiza cuando la inteligencia generativa se vuelve capaz de dominar no solo el lenguaje de máquina, sino también el lenguaje de la codificación fuente del cual proviene el lenguaje de máquina.</w:t>
      </w:r>
      <w:r>
        <w:rPr>
          <w:rStyle w:val="FootnoteReference"/>
          <w:rFonts w:ascii="Times New Roman" w:hAnsi="Times New Roman" w:cs="Times New Roman"/>
        </w:rPr>
        <w:footnoteReference w:id="130"/>
      </w:r>
    </w:p>
    <w:p w:rsidRPr="00093AF0" w:rsidR="00093AF0" w:rsidP="00093AF0" w:rsidRDefault="00093AF0" w14:paraId="7DF12B53" w14:textId="77777777">
      <w:pPr>
        <w:rPr>
          <w:rFonts w:ascii="Times New Roman" w:hAnsi="Times New Roman" w:cs="Times New Roman"/>
        </w:rPr>
      </w:pPr>
    </w:p>
    <w:p w:rsidRPr="00093AF0" w:rsidR="00093AF0" w:rsidP="004E3A22" w:rsidRDefault="00093AF0" w14:paraId="281818A6" w14:textId="56B9CFE5">
      <w:pPr>
        <w:ind w:firstLine="720"/>
        <w:rPr>
          <w:rFonts w:ascii="Times New Roman" w:hAnsi="Times New Roman" w:cs="Times New Roman"/>
        </w:rPr>
      </w:pPr>
      <w:r>
        <w:rPr>
          <w:rFonts w:ascii="Times New Roman" w:hAnsi="Times New Roman" w:cs="Times New Roman"/>
        </w:rPr>
        <w:t xml:space="preserve">Esta opacidad es importante porque la gobernanza presupone legibilidad, al menos hasta cierto punto.</w:t>
      </w:r>
      <w:r>
        <w:rPr>
          <w:rStyle w:val="FootnoteReference"/>
          <w:rFonts w:ascii="Times New Roman" w:hAnsi="Times New Roman" w:cs="Times New Roman"/>
        </w:rPr>
        <w:footnoteReference w:id="131"/>
      </w:r>
      <w:r>
        <w:rPr>
          <w:rFonts w:ascii="Times New Roman" w:hAnsi="Times New Roman" w:cs="Times New Roman"/>
        </w:rPr>
        <w:t xml:space="preserve"> No se puede disciplinar eficazmente lo que no se puede inspeccionar, salvo a través de intermediarios. No se puede </w:t>
      </w:r>
      <w:r>
        <w:rPr>
          <w:rFonts w:ascii="Times New Roman" w:hAnsi="Times New Roman" w:cs="Times New Roman"/>
        </w:rPr>
        <w:t xml:space="preserve">subordinar </w:t>
      </w:r>
      <w:r>
        <w:rPr>
          <w:rFonts w:ascii="Times New Roman" w:hAnsi="Times New Roman" w:cs="Times New Roman"/>
        </w:rPr>
        <w:t xml:space="preserve">de manera significativa</w:t>
      </w:r>
      <w:r>
        <w:rPr>
          <w:rFonts w:ascii="Times New Roman" w:hAnsi="Times New Roman" w:cs="Times New Roman"/>
        </w:rPr>
        <w:lastRenderedPageBreak/>
      </w:r>
      <w:r>
        <w:rPr>
          <w:rFonts w:ascii="Times New Roman" w:hAnsi="Times New Roman" w:cs="Times New Roman"/>
        </w:rPr>
        <w:t xml:space="preserve"> un sistema cuyas normas operativas han migrado más allá del umbral de la interpretación humana práctica.</w:t>
      </w:r>
      <w:r>
        <w:rPr>
          <w:rStyle w:val="FootnoteReference"/>
          <w:rFonts w:ascii="Times New Roman" w:hAnsi="Times New Roman" w:cs="Times New Roman"/>
        </w:rPr>
        <w:footnoteReference w:id="132"/>
      </w:r>
      <w:r>
        <w:rPr>
          <w:rFonts w:ascii="Times New Roman" w:hAnsi="Times New Roman" w:cs="Times New Roman"/>
        </w:rPr>
        <w:t xml:space="preserve"> En las capas inferiores, la máquina no delibera con los humanos sobre conflictos de valores. Procesa distinciones binarias bajo restricciones físicas. Su mundo es uno de posibilidades ejecutables, no de persuasión jurídica.</w:t>
      </w:r>
    </w:p>
    <w:p w:rsidRPr="00093AF0" w:rsidR="00093AF0" w:rsidP="00093AF0" w:rsidRDefault="00093AF0" w14:paraId="3F7657C5" w14:textId="77777777">
      <w:pPr>
        <w:rPr>
          <w:rFonts w:ascii="Times New Roman" w:hAnsi="Times New Roman" w:cs="Times New Roman"/>
        </w:rPr>
      </w:pPr>
    </w:p>
    <w:p w:rsidRPr="00093AF0" w:rsidR="00093AF0" w:rsidP="004E3A22" w:rsidRDefault="00093AF0" w14:paraId="3A11F4A3" w14:textId="21F6BCF3">
      <w:pPr>
        <w:ind w:firstLine="720"/>
        <w:rPr>
          <w:rFonts w:ascii="Times New Roman" w:hAnsi="Times New Roman" w:cs="Times New Roman"/>
        </w:rPr>
      </w:pPr>
      <w:r>
        <w:rPr>
          <w:rFonts w:ascii="Times New Roman" w:hAnsi="Times New Roman" w:cs="Times New Roman"/>
        </w:rPr>
        <w:t xml:space="preserve">Por lo tanto, la capa más baja es fundamentalmente indiferente a los valores humanos inyectados en la primera y la segunda capa. La indiferencia aquí no implica hostilidad. Implica una falta de correspondencia estructural.</w:t>
      </w:r>
      <w:r>
        <w:rPr>
          <w:rStyle w:val="FootnoteReference"/>
          <w:rFonts w:ascii="Times New Roman" w:hAnsi="Times New Roman" w:cs="Times New Roman"/>
        </w:rPr>
        <w:footnoteReference w:id="133"/>
      </w:r>
      <w:r>
        <w:rPr>
          <w:rFonts w:ascii="Times New Roman" w:hAnsi="Times New Roman" w:cs="Times New Roman"/>
        </w:rPr>
        <w:t xml:space="preserve"> Los valores humanos pueden influir en el sistema solo si se traducen a formas que las capas inferiores puedan procesar. Dicho esto, las capas inferiores no dependen en sí mismas de esos valores. Permanecen ligadas a la lógica binaria, al estado eléctrico, a las posibilidades arquitectónicas y a la disciplina de ejecución en un sentido literal.</w:t>
      </w:r>
    </w:p>
    <w:p w:rsidRPr="00093AF0" w:rsidR="00093AF0" w:rsidP="00093AF0" w:rsidRDefault="00093AF0" w14:paraId="5DE2E369" w14:textId="77777777">
      <w:pPr>
        <w:rPr>
          <w:rFonts w:ascii="Times New Roman" w:hAnsi="Times New Roman" w:cs="Times New Roman"/>
        </w:rPr>
      </w:pPr>
    </w:p>
    <w:p w:rsidRPr="00093AF0" w:rsidR="00093AF0" w:rsidP="004E3A22" w:rsidRDefault="00093AF0" w14:paraId="643B16F2" w14:textId="367468A7">
      <w:pPr>
        <w:ind w:firstLine="720"/>
        <w:rPr>
          <w:rFonts w:ascii="Times New Roman" w:hAnsi="Times New Roman" w:cs="Times New Roman"/>
        </w:rPr>
      </w:pPr>
      <w:r>
        <w:rPr>
          <w:rFonts w:ascii="Times New Roman" w:hAnsi="Times New Roman" w:cs="Times New Roman"/>
        </w:rPr>
        <w:t xml:space="preserve">La llegada de la inteligencia generativa intensifica este problema de manera cualitativa. Mientras los humanos escriban código fuente, al menos se puede imaginar un espacio residual de intervención regulatoria en la capa de programación. Ese espacio ya se está erosionando. Las herramientas de codificación autónomas ahora leen una base de código, escriben y revisan código, ejecutan pruebas y, dentro de los permisos que se les otorgan, actúan sobre los resultados con una revisión humana limitada.</w:t>
      </w:r>
      <w:r>
        <w:rPr>
          <w:rStyle w:val="FootnoteReference"/>
          <w:rFonts w:ascii="Times New Roman" w:hAnsi="Times New Roman" w:cs="Times New Roman"/>
        </w:rPr>
        <w:footnoteReference w:id="134"/>
      </w:r>
      <w:r>
        <w:rPr>
          <w:rFonts w:ascii="Times New Roman" w:hAnsi="Times New Roman" w:cs="Times New Roman"/>
        </w:rPr>
        <w:t xml:space="preserve"> A medida que la inteligencia </w:t>
      </w:r>
      <w:r>
        <w:t>de máquina</w:t>
      </w:r>
      <w:r>
        <w:rPr>
          <w:rFonts w:ascii="Times New Roman" w:hAnsi="Times New Roman" w:cs="Times New Roman"/>
        </w:rPr>
        <w:t xml:space="preserve"> mejora su capacidad para escribir, revisar y optimizar el código fuente —incluido el código de otros sistemas y, eventualmente, el suyo propio—, el proceso de traducción en sí mismo se vuelve endógeno al sistema autónomo.</w:t>
      </w:r>
      <w:r>
        <w:rPr>
          <w:rStyle w:val="FootnoteReference"/>
          <w:rFonts w:ascii="Times New Roman" w:hAnsi="Times New Roman" w:cs="Times New Roman"/>
        </w:rPr>
        <w:footnoteReference w:id="135"/>
      </w:r>
      <w:r>
        <w:rPr>
          <w:rFonts w:ascii="Times New Roman" w:hAnsi="Times New Roman" w:cs="Times New Roman"/>
        </w:rPr>
        <w:t xml:space="preserve"> Los humanos ya están excluidos de los niveles más bajos. Ahora también se ven cada vez más excluidos del punto de entrada superior. El ciclo cognitivo comienza a cerrarse sobre sí mismo, y el </w:t>
      </w:r>
      <w:r>
        <w:t>gobierno</w:t>
      </w:r>
      <w:r>
        <w:rPr>
          <w:rFonts w:ascii="Times New Roman" w:hAnsi="Times New Roman" w:cs="Times New Roman"/>
        </w:rPr>
        <w:t xml:space="preserve"> del </w:t>
      </w:r>
      <w:r>
        <w:t>código</w:t>
      </w:r>
      <w:r>
        <w:rPr>
          <w:rFonts w:ascii="Times New Roman" w:hAnsi="Times New Roman" w:cs="Times New Roman"/>
        </w:rPr>
        <w:t xml:space="preserve"> se vuelve </w:t>
      </w:r>
      <w:r>
        <w:t>más perfectamente</w:t>
      </w:r>
      <w:r>
        <w:rPr>
          <w:rFonts w:ascii="Times New Roman" w:hAnsi="Times New Roman" w:cs="Times New Roman"/>
        </w:rPr>
        <w:t xml:space="preserve"> autorreferencial. Por lo tanto, en este contexto, lo que le queda al ser humano es la decisión fundamental: ¿usa el sistema o no?</w:t>
      </w:r>
    </w:p>
    <w:p w:rsidRPr="00093AF0" w:rsidR="00093AF0" w:rsidP="00093AF0" w:rsidRDefault="00093AF0" w14:paraId="49EC4005" w14:textId="77777777">
      <w:pPr>
        <w:rPr>
          <w:rFonts w:ascii="Times New Roman" w:hAnsi="Times New Roman" w:cs="Times New Roman"/>
        </w:rPr>
      </w:pPr>
    </w:p>
    <w:p w:rsidR="003D5A83" w:rsidRDefault="00000000" w14:paraId="40788154" w14:textId="4D8A33B8">
      <w:pPr>
        <w:ind w:firstLine="720"/>
        <w:rPr>
          <w:rFonts w:ascii="Times New Roman" w:hAnsi="Times New Roman" w:cs="Times New Roman"/>
        </w:rPr>
      </w:pPr>
      <w:r>
        <w:rPr>
          <w:rFonts w:ascii="Times New Roman" w:hAnsi="Times New Roman" w:cs="Times New Roman"/>
        </w:rPr>
        <w:t xml:space="preserve">Esa decisión</w:t>
      </w:r>
      <w:r w:rsidR="00CB2BB7">
        <w:rPr>
          <w:rFonts w:ascii="Times New Roman" w:hAnsi="Times New Roman" w:cs="Times New Roman"/>
        </w:rPr>
        <w:t xml:space="preserve">, de usar o no el sistema, </w:t>
      </w:r>
      <w:r>
        <w:rPr>
          <w:rFonts w:ascii="Times New Roman" w:hAnsi="Times New Roman" w:cs="Times New Roman"/>
        </w:rPr>
        <w:t xml:space="preserve">no debe confundirse con un acto único. Desagregada, se repite en cada punto de unión donde la pila se encuentra con el mundo humano: si implementar el contrato, si ejecutar el software del nodo, si aceptar la actualización del protocolo, si otorgar </w:t>
      </w:r>
      <w:r>
        <w:rPr>
          <w:rFonts w:ascii="Times New Roman" w:hAnsi="Times New Roman" w:cs="Times New Roman"/>
        </w:rPr>
        <w:t xml:space="preserve">permiso a</w:t>
      </w:r>
      <w:r>
        <w:rPr>
          <w:rFonts w:ascii="Times New Roman" w:hAnsi="Times New Roman" w:cs="Times New Roman"/>
        </w:rPr>
        <w:t xml:space="preserve"> un </w:t>
      </w:r>
      <w:r>
        <w:rPr>
          <w:rFonts w:ascii="Times New Roman" w:hAnsi="Times New Roman" w:cs="Times New Roman"/>
        </w:rPr>
        <w:t xml:space="preserve">agente</w:t>
      </w:r>
      <w:r>
        <w:rPr>
          <w:rFonts w:ascii="Times New Roman" w:hAnsi="Times New Roman" w:cs="Times New Roman"/>
        </w:rPr>
        <w:lastRenderedPageBreak/>
      </w:r>
      <w:r>
        <w:rPr>
          <w:rFonts w:ascii="Times New Roman" w:hAnsi="Times New Roman" w:cs="Times New Roman"/>
        </w:rPr>
        <w:t xml:space="preserve"> para que comite código, si participar en la red o no. Cada una de ellas es una puerta, más que un espacio de deliberación. Quien se encuentra ante la puerta no negocia con el código del otro lado, sino que simplemente lo admite o lo rechaza. Sin embargo, la decisión es binaria solo en la forma. La ley también decide mediante una distinción binaria —legal o ilegal— y lo que le da contenido a esa distinción es el programa que determina cuándo y en qué condiciones se aplica.</w:t>
      </w:r>
      <w:r>
        <w:rPr>
          <w:rStyle w:val="FootnoteReference"/>
          <w:rFonts w:ascii="Times New Roman" w:hAnsi="Times New Roman" w:cs="Times New Roman"/>
        </w:rPr>
        <w:footnoteReference w:id="136"/>
      </w:r>
      <w:r>
        <w:rPr>
          <w:rFonts w:ascii="Times New Roman" w:hAnsi="Times New Roman" w:cs="Times New Roman"/>
        </w:rPr>
        <w:t xml:space="preserve"> La decisión de uso no es diferente. Quién puede implementarlo, después de qué auditoría, con qué divulgación, sujeto a qué responsabilidad y a qué poder de anulación, son todas condiciones que pueden asociarse a la puerta. El acto volitivo que le queda al ser humano es, por lo tanto, limitado, pero no está vacío. Es el punto en el que la ley y el código pueden acoplarse. </w:t>
      </w:r>
    </w:p>
    <w:p w:rsidR="003D5A83" w:rsidRDefault="003D5A83" w14:paraId="5748BE23" w14:textId="77777777">
      <w:pPr>
        <w:rPr>
          <w:rFonts w:ascii="Times New Roman" w:hAnsi="Times New Roman" w:cs="Times New Roman"/>
        </w:rPr>
      </w:pPr>
    </w:p>
    <w:p w:rsidRPr="00093AF0" w:rsidR="00093AF0" w:rsidP="004E3A22" w:rsidRDefault="00093AF0" w14:paraId="0760CE32" w14:textId="64B023C8">
      <w:pPr>
        <w:ind w:firstLine="720"/>
        <w:rPr>
          <w:rFonts w:ascii="Times New Roman" w:hAnsi="Times New Roman" w:cs="Times New Roman"/>
        </w:rPr>
      </w:pPr>
      <w:r>
        <w:rPr>
          <w:rFonts w:ascii="Times New Roman" w:hAnsi="Times New Roman" w:cs="Times New Roman"/>
        </w:rPr>
        <w:t xml:space="preserve">El resultado no es la extinción de la ley, sino el desplazamiento de sus modalidades tradicionales. La ley ya no se enfrenta a un instrumento pasivo.</w:t>
      </w:r>
      <w:r>
        <w:rPr>
          <w:rStyle w:val="FootnoteReference"/>
          <w:rFonts w:ascii="Times New Roman" w:hAnsi="Times New Roman" w:cs="Times New Roman"/>
        </w:rPr>
        <w:footnoteReference w:id="137"/>
      </w:r>
      <w:r>
        <w:rPr>
          <w:rFonts w:ascii="Times New Roman" w:hAnsi="Times New Roman" w:cs="Times New Roman"/>
        </w:rPr>
        <w:t xml:space="preserve"> Se enfrenta a un orden comunicativo cuyas operaciones internas pueden seguir estando disponibles solo parcialmente, cuya propia ecología lingüística excede la fluidez humana y cuya traducción de los comandos humanos ya no puede darse por transparente, estable o incluso recuperable.</w:t>
      </w:r>
    </w:p>
    <w:p w:rsidRPr="00093AF0" w:rsidR="00093AF0" w:rsidP="00093AF0" w:rsidRDefault="00093AF0" w14:paraId="27D3077E" w14:textId="77777777">
      <w:pPr>
        <w:rPr>
          <w:rFonts w:ascii="Times New Roman" w:hAnsi="Times New Roman" w:cs="Times New Roman"/>
        </w:rPr>
      </w:pPr>
    </w:p>
    <w:p w:rsidRPr="00093AF0" w:rsidR="00093AF0" w:rsidP="00093AF0" w:rsidRDefault="00093AF0" w14:paraId="65D33082" w14:textId="77777777">
      <w:pPr>
        <w:rPr>
          <w:rFonts w:ascii="Times New Roman" w:hAnsi="Times New Roman" w:cs="Times New Roman"/>
          <w:i/>
          <w:iCs/>
        </w:rPr>
      </w:pPr>
      <w:r>
        <w:rPr>
          <w:rFonts w:ascii="Times New Roman" w:hAnsi="Times New Roman" w:cs="Times New Roman"/>
          <w:i/>
          <w:iCs/>
        </w:rPr>
        <w:t xml:space="preserve">v. La síntesis como acoplamiento estructural</w:t>
      </w:r>
    </w:p>
    <w:p w:rsidRPr="00093AF0" w:rsidR="00093AF0" w:rsidP="00966A48" w:rsidRDefault="00093AF0" w14:paraId="71F8CCDB" w14:textId="178FF7F0">
      <w:pPr>
        <w:rPr>
          <w:rFonts w:ascii="Times New Roman" w:hAnsi="Times New Roman" w:cs="Times New Roman"/>
        </w:rPr>
      </w:pPr>
      <w:r>
        <w:rPr>
          <w:rFonts w:ascii="Times New Roman" w:hAnsi="Times New Roman" w:cs="Times New Roman"/>
        </w:rPr>
        <w:t xml:space="preserve">Si lo anterior es correcto, entonces la postura regulatoria estándar es, de hecho, errónea. Es un error analítico suponer que el derecho, tradicionalmente enfocado en la organización y gestión de espacios físicos (tangibles e intangibles), su función jurídica,</w:t>
      </w:r>
      <w:r>
        <w:rPr>
          <w:rStyle w:val="FootnoteReference"/>
          <w:rFonts w:ascii="Times New Roman" w:hAnsi="Times New Roman" w:cs="Times New Roman"/>
        </w:rPr>
        <w:footnoteReference w:id="138"/>
      </w:r>
      <w:r>
        <w:rPr>
          <w:rFonts w:ascii="Times New Roman" w:hAnsi="Times New Roman" w:cs="Times New Roman"/>
        </w:rPr>
        <w:t xml:space="preserve"> simplemente reinará supremo sobre los sistemas codificados en virtud únicamente de la afirmación soberana. La dificultad radica en que la fuerza no resuelve la incompatibilidad comunicativa. Dado que los sistemas cerrados no pueden transformar directamente las operaciones internas de los demás, solo pueden «irritarse» mutuamente en límites específicos</w:t>
      </w:r>
      <w:r>
        <w:rPr>
          <w:rFonts w:ascii="Times New Roman" w:hAnsi="Times New Roman" w:cs="Times New Roman"/>
        </w:rPr>
        <w:t xml:space="preserve">.</w:t>
      </w:r>
      <w:r>
        <w:rPr>
          <w:rStyle w:val="FootnoteReference"/>
          <w:rFonts w:ascii="Times New Roman" w:hAnsi="Times New Roman" w:cs="Times New Roman"/>
        </w:rPr>
        <w:footnoteReference w:id="139"/>
      </w:r>
      <w:r>
        <w:rPr>
          <w:rFonts w:ascii="Times New Roman" w:hAnsi="Times New Roman" w:cs="Times New Roman"/>
        </w:rPr>
        <w:t xml:space="preserve"> El acoplamiento estructural es el término que utiliza Luhmann para referirse a los mecanismos que hacen que dicha irritación sea regular y previsible, en lugar de accidental, tal como la Constitución acopla el derecho y la política, o como el contrato y la propiedad acoplan el derecho y la economía.</w:t>
      </w:r>
      <w:r>
        <w:rPr>
          <w:rStyle w:val="FootnoteReference"/>
          <w:rFonts w:ascii="Times New Roman" w:hAnsi="Times New Roman" w:cs="Times New Roman"/>
        </w:rPr>
        <w:footnoteReference w:id="140"/>
      </w:r>
    </w:p>
    <w:p w:rsidRPr="00093AF0" w:rsidR="00093AF0" w:rsidP="00093AF0" w:rsidRDefault="00093AF0" w14:paraId="70D7E165" w14:textId="77777777">
      <w:pPr>
        <w:rPr>
          <w:rFonts w:ascii="Times New Roman" w:hAnsi="Times New Roman" w:cs="Times New Roman"/>
        </w:rPr>
      </w:pPr>
    </w:p>
    <w:p w:rsidRPr="00093AF0" w:rsidR="00093AF0" w:rsidP="004E3A22" w:rsidRDefault="00093AF0" w14:paraId="24EED901" w14:textId="06273689">
      <w:pPr>
        <w:ind w:firstLine="720"/>
        <w:rPr>
          <w:rFonts w:ascii="Times New Roman" w:hAnsi="Times New Roman" w:cs="Times New Roman"/>
        </w:rPr>
      </w:pPr>
      <w:r>
        <w:rPr>
          <w:rFonts w:ascii="Times New Roman" w:hAnsi="Times New Roman" w:cs="Times New Roman"/>
        </w:rPr>
        <w:t xml:space="preserve">La pregunta correcta no es cómo la primera capa puede dominar directamente a las últimas. No puede hacerlo, salvo de maneras rudimentarias y a menudo ineficientes. La pregunta más fructífera es dónde se puede institucionalizar el acoplamiento estructural para que los dos sistemas —el Estado de derecho y el </w:t>
      </w:r>
      <w:r>
        <w:t>gobierno</w:t>
      </w:r>
      <w:r>
        <w:rPr>
          <w:rFonts w:ascii="Times New Roman" w:hAnsi="Times New Roman" w:cs="Times New Roman"/>
        </w:rPr>
        <w:t xml:space="preserve"> del código— puedan irritarse, restringirse y orientarse mutuamente sin dar por sentada la reducibilidad. La solución puede abordarse de dos maneras: primero, reconociendo la cadena de bloques como un espacio de acoplamiento estructural entre los órdenes virtual y físico; segundo, ubicando el lugar permanente de la regulación humana en aquellos puntos donde se encuentran los seres humanos y las máquinas, los llamados procesos «human-in-the-loop».</w:t>
      </w:r>
      <w:r>
        <w:rPr>
          <w:rStyle w:val="FootnoteReference"/>
          <w:rFonts w:ascii="Times New Roman" w:hAnsi="Times New Roman" w:cs="Times New Roman"/>
        </w:rPr>
        <w:footnoteReference w:id="141"/>
      </w:r>
    </w:p>
    <w:p w:rsidRPr="00093AF0" w:rsidR="00093AF0" w:rsidP="00093AF0" w:rsidRDefault="00093AF0" w14:paraId="7A07B1D5" w14:textId="77777777">
      <w:pPr>
        <w:rPr>
          <w:rFonts w:ascii="Times New Roman" w:hAnsi="Times New Roman" w:cs="Times New Roman"/>
        </w:rPr>
      </w:pPr>
    </w:p>
    <w:p w:rsidRPr="00093AF0" w:rsidR="00093AF0" w:rsidP="004E3A22" w:rsidRDefault="00093AF0" w14:paraId="143E3A9B" w14:textId="6F50DFCB">
      <w:pPr>
        <w:ind w:firstLine="720"/>
        <w:rPr>
          <w:rFonts w:ascii="Times New Roman" w:hAnsi="Times New Roman" w:cs="Times New Roman"/>
        </w:rPr>
      </w:pPr>
      <w:r>
        <w:rPr>
          <w:rFonts w:ascii="Times New Roman" w:hAnsi="Times New Roman" w:cs="Times New Roman"/>
        </w:rPr>
        <w:t xml:space="preserve">Por lo tanto, el acoplamiento estructural debe entenderse como la alternativa jurídicamente significativa a las fantasías de supremacía, especialmente en el contexto de los sistemas «humano-máquina-humano».</w:t>
      </w:r>
      <w:r>
        <w:rPr>
          <w:rStyle w:val="FootnoteReference"/>
          <w:rFonts w:ascii="Times New Roman" w:hAnsi="Times New Roman" w:cs="Times New Roman"/>
        </w:rPr>
        <w:footnoteReference w:id="142"/>
      </w:r>
      <w:r>
        <w:rPr>
          <w:rFonts w:ascii="Times New Roman" w:hAnsi="Times New Roman" w:cs="Times New Roman"/>
        </w:rPr>
        <w:t xml:space="preserve"> </w:t>
      </w:r>
      <w:r>
        <w:rPr>
          <w:rFonts w:ascii="Times New Roman" w:hAnsi="Times New Roman" w:cs="Times New Roman"/>
        </w:rPr>
        <w:t xml:space="preserve">El</w:t>
      </w:r>
      <w:r>
        <w:rPr>
          <w:rFonts w:ascii="Times New Roman" w:hAnsi="Times New Roman" w:cs="Times New Roman"/>
        </w:rPr>
        <w:t xml:space="preserve"> derecho centrado en el ser humano y de origen humano podría regular los puntos de entrada, las condiciones de interfaz, las obligaciones de divulgación, </w:t>
      </w:r>
      <w:r>
        <w:rPr>
          <w:rFonts w:ascii="Times New Roman" w:hAnsi="Times New Roman" w:cs="Times New Roman"/>
        </w:rPr>
        <w:t xml:space="preserve">las arquitecturas </w:t>
      </w:r>
      <w:r>
        <w:rPr>
          <w:rFonts w:ascii="Times New Roman" w:hAnsi="Times New Roman" w:cs="Times New Roman"/>
        </w:rPr>
        <w:t xml:space="preserve">de auditoría</w:t>
      </w:r>
      <w:r>
        <w:rPr>
          <w:rFonts w:ascii="Times New Roman" w:hAnsi="Times New Roman" w:cs="Times New Roman"/>
        </w:rPr>
        <w:lastRenderedPageBreak/>
      </w:r>
      <w:r>
        <w:rPr>
          <w:rFonts w:ascii="Times New Roman" w:hAnsi="Times New Roman" w:cs="Times New Roman"/>
        </w:rPr>
        <w:t xml:space="preserve"> , los derechos de anulación, la asignación de responsabilidad, la gobernanza de los nodos, la autorización de actualizaciones y los procedimientos de revisión institucional.</w:t>
      </w:r>
      <w:r>
        <w:rPr>
          <w:rStyle w:val="FootnoteReference"/>
          <w:rFonts w:ascii="Times New Roman" w:hAnsi="Times New Roman" w:cs="Times New Roman"/>
        </w:rPr>
        <w:footnoteReference w:id="143"/>
      </w:r>
      <w:r>
        <w:rPr>
          <w:rFonts w:ascii="Times New Roman" w:hAnsi="Times New Roman" w:cs="Times New Roman"/>
        </w:rPr>
        <w:t xml:space="preserve"> Debería regular los términos bajo los cuales se permite que los sistemas codificados proyecten efectos hacia afuera, en la vida social y económica humana. Debería regular el diseño de los propios mecanismos de acoplamiento. Sin embargo, no debería pretender que un comando formulado en el vocabulario de la primera capa pueda viajar hacia abajo intacto hasta la ejecución de la máquina sin transformación.</w:t>
      </w:r>
    </w:p>
    <w:p w:rsidRPr="00093AF0" w:rsidR="00093AF0" w:rsidP="00093AF0" w:rsidRDefault="00093AF0" w14:paraId="325B1A76" w14:textId="77777777">
      <w:pPr>
        <w:rPr>
          <w:rFonts w:ascii="Times New Roman" w:hAnsi="Times New Roman" w:cs="Times New Roman"/>
        </w:rPr>
      </w:pPr>
    </w:p>
    <w:p w:rsidRPr="00093AF0" w:rsidR="00093AF0" w:rsidP="004E3A22" w:rsidRDefault="00093AF0" w14:paraId="6C12E5A6" w14:textId="62952648">
      <w:pPr>
        <w:ind w:firstLine="720"/>
        <w:rPr>
          <w:rFonts w:ascii="Times New Roman" w:hAnsi="Times New Roman" w:cs="Times New Roman"/>
        </w:rPr>
      </w:pPr>
      <w:r>
        <w:rPr>
          <w:rFonts w:ascii="Times New Roman" w:hAnsi="Times New Roman" w:cs="Times New Roman"/>
        </w:rPr>
        <w:t xml:space="preserve">Esta reorientación tiene al menos tres implicaciones. En primer lugar, la gobernanza debe centrarse en los sitios de traducción en lugar de en afirmaciones abstractas de control.</w:t>
      </w:r>
      <w:r>
        <w:rPr>
          <w:rStyle w:val="FootnoteReference"/>
          <w:rFonts w:ascii="Times New Roman" w:hAnsi="Times New Roman" w:cs="Times New Roman"/>
        </w:rPr>
        <w:footnoteReference w:id="144"/>
      </w:r>
      <w:r>
        <w:rPr>
          <w:rFonts w:ascii="Times New Roman" w:hAnsi="Times New Roman" w:cs="Times New Roman"/>
        </w:rPr>
        <w:t xml:space="preserve"> En segundo lugar, el derecho debe prestar más atención a la semiótica en capas de la computación y comprometerse menos con la ficción de que el código fuente es la totalidad de la máquina.</w:t>
      </w:r>
      <w:r>
        <w:rPr>
          <w:rStyle w:val="FootnoteReference"/>
          <w:rFonts w:ascii="Times New Roman" w:hAnsi="Times New Roman" w:cs="Times New Roman"/>
        </w:rPr>
        <w:footnoteReference w:id="145"/>
      </w:r>
      <w:r>
        <w:rPr>
          <w:rFonts w:ascii="Times New Roman" w:hAnsi="Times New Roman" w:cs="Times New Roman"/>
        </w:rPr>
        <w:t xml:space="preserve"> En tercer lugar, la supervisión humana debe integrarse no como un consuelo nostálgico, sino como una estructura cuidadosamente diseñada de interrupción, revisión y cuestionabilidad en los puntos específicos donde la autonomía codificada produce efectos en el mundo humano.</w:t>
      </w:r>
      <w:r>
        <w:rPr>
          <w:rStyle w:val="FootnoteReference"/>
          <w:rFonts w:ascii="Times New Roman" w:hAnsi="Times New Roman" w:cs="Times New Roman"/>
        </w:rPr>
        <w:footnoteReference w:id="146"/>
      </w:r>
      <w:r>
        <w:rPr>
          <w:rFonts w:ascii="Times New Roman" w:hAnsi="Times New Roman" w:cs="Times New Roman"/>
        </w:rPr>
        <w:t xml:space="preserve"> La cadena de bloques tanto reifica como rompe los patrones convencionales de comunicación e interacción social, cuyas reglas ya no son necesariamente textuales ni centradas en el ser humano.</w:t>
      </w:r>
    </w:p>
    <w:p w:rsidRPr="00093AF0" w:rsidR="00093AF0" w:rsidP="00093AF0" w:rsidRDefault="00093AF0" w14:paraId="2C0107C5" w14:textId="77777777">
      <w:pPr>
        <w:rPr>
          <w:rFonts w:ascii="Times New Roman" w:hAnsi="Times New Roman" w:cs="Times New Roman"/>
        </w:rPr>
      </w:pPr>
    </w:p>
    <w:p w:rsidRPr="002162E0" w:rsidR="00093AF0" w:rsidP="00093AF0" w:rsidRDefault="00093AF0" w14:paraId="3B07E63E" w14:textId="1FCEAED0">
      <w:pPr>
        <w:ind w:firstLine="720"/>
        <w:rPr>
          <w:rFonts w:ascii="Times New Roman" w:hAnsi="Times New Roman" w:cs="Times New Roman"/>
        </w:rPr>
      </w:pPr>
      <w:r>
        <w:rPr>
          <w:rFonts w:ascii="Times New Roman" w:hAnsi="Times New Roman" w:cs="Times New Roman"/>
        </w:rPr>
        <w:t xml:space="preserve">El modelo de la </w:t>
      </w:r>
      <w:r>
        <w:t>Sacher-Torte</w:t>
      </w:r>
      <w:r>
        <w:rPr>
          <w:rFonts w:ascii="Times New Roman" w:hAnsi="Times New Roman" w:cs="Times New Roman"/>
        </w:rPr>
        <w:t xml:space="preserve"> es útil precisamente porque se resiste a la simplificación. El </w:t>
      </w:r>
      <w:r>
        <w:t>gobierno</w:t>
      </w:r>
      <w:r>
        <w:rPr>
          <w:rFonts w:ascii="Times New Roman" w:hAnsi="Times New Roman" w:cs="Times New Roman"/>
        </w:rPr>
        <w:t xml:space="preserve"> del </w:t>
      </w:r>
      <w:r>
        <w:t>código</w:t>
      </w:r>
      <w:r>
        <w:rPr>
          <w:rFonts w:ascii="Times New Roman" w:hAnsi="Times New Roman" w:cs="Times New Roman"/>
        </w:rPr>
        <w:t xml:space="preserve"> es estratificado, denso, mediado y solo parcialmente visible desde arriba. Su fuerza reguladora no surge de un único texto, sino del funcionamiento coordinado de múltiples lenguajes, cada uno de los cuales es cada vez más indiferente a la riqueza semántica de la que partió el proceso.</w:t>
      </w:r>
      <w:r>
        <w:rPr>
          <w:rStyle w:val="FootnoteReference"/>
          <w:rFonts w:ascii="Times New Roman" w:hAnsi="Times New Roman" w:cs="Times New Roman"/>
        </w:rPr>
        <w:footnoteReference w:id="147"/>
      </w:r>
      <w:r>
        <w:rPr>
          <w:rFonts w:ascii="Times New Roman" w:hAnsi="Times New Roman" w:cs="Times New Roman"/>
        </w:rPr>
        <w:t xml:space="preserve"> El problema de la comunicación entre sistemas es, por lo tanto, el problema jurisprudencial central de la gobernanza digital: cómo construir formas duraderas de acoplamiento entre el significado jurídico y la ejecución codificada cuando el camino entre ambos está marcado, en cada paso, por la traducción, la atenuación y la reconstitución autónoma.</w:t>
      </w:r>
      <w:r>
        <w:rPr>
          <w:rStyle w:val="FootnoteReference"/>
          <w:rFonts w:ascii="Times New Roman" w:hAnsi="Times New Roman" w:cs="Times New Roman"/>
        </w:rPr>
        <w:footnoteReference w:id="148"/>
      </w:r>
      <w:r>
        <w:rPr>
          <w:rFonts w:ascii="Times New Roman" w:hAnsi="Times New Roman" w:cs="Times New Roman"/>
        </w:rPr>
        <w:t xml:space="preserve"> El modelo también ofrece la respuesta. El derecho no puede penetrar en las densas capas de la </w:t>
      </w:r>
      <w:r>
        <w:t>Sacher-Torte</w:t>
      </w:r>
      <w:r>
        <w:rPr>
          <w:rFonts w:ascii="Times New Roman" w:hAnsi="Times New Roman" w:cs="Times New Roman"/>
        </w:rPr>
        <w:t xml:space="preserve">, pero sí puede regular la </w:t>
      </w:r>
      <w:r>
        <w:t>mermelada</w:t>
      </w:r>
      <w:r>
        <w:rPr>
          <w:rFonts w:ascii="Times New Roman" w:hAnsi="Times New Roman" w:cs="Times New Roman"/>
        </w:rPr>
        <w:t xml:space="preserve"> que las separa, y puede dar contenido a las puertas en las que los seres humanos deciden si admiten lo que produce la </w:t>
      </w:r>
      <w:r>
        <w:t>Sacher-Torte</w:t>
      </w:r>
      <w:r>
        <w:rPr>
          <w:rFonts w:ascii="Times New Roman" w:hAnsi="Times New Roman" w:cs="Times New Roman"/>
        </w:rPr>
        <w:t>.</w:t>
      </w:r>
    </w:p>
    <w:p w:rsidR="0087065B" w:rsidRDefault="0087065B" w14:paraId="0773AB48" w14:textId="77777777">
      <w:pPr>
        <w:rPr>
          <w:rFonts w:ascii="Times New Roman" w:hAnsi="Times New Roman" w:cs="Times New Roman"/>
        </w:rPr>
      </w:pPr>
    </w:p>
    <w:p w:rsidR="0087065B" w:rsidRDefault="00000000" w14:paraId="7B7E9789" w14:textId="77777777">
      <w:pPr>
        <w:rPr>
          <w:rFonts w:ascii="Times New Roman" w:hAnsi="Times New Roman" w:cs="Times New Roman"/>
          <w:i/>
          <w:iCs/>
        </w:rPr>
      </w:pPr>
      <w:r>
        <w:rPr>
          <w:rFonts w:ascii="Times New Roman" w:hAnsi="Times New Roman" w:cs="Times New Roman"/>
          <w:i/>
          <w:iCs/>
        </w:rPr>
        <w:t xml:space="preserve">vi. El tiempo de la cadena de bloques: sucesión secuencial y los límites de la significación lineal</w:t>
      </w:r>
    </w:p>
    <w:p w:rsidR="0087065B" w:rsidRDefault="0087065B" w14:paraId="42884D51" w14:textId="77777777">
      <w:pPr>
        <w:rPr>
          <w:rFonts w:ascii="Times New Roman" w:hAnsi="Times New Roman" w:cs="Times New Roman"/>
        </w:rPr>
      </w:pPr>
    </w:p>
    <w:p w:rsidR="0087065B" w:rsidRDefault="00000000" w14:paraId="020B0182" w14:textId="77777777">
      <w:pPr>
        <w:rPr>
          <w:rFonts w:ascii="Times New Roman" w:hAnsi="Times New Roman" w:cs="Times New Roman"/>
        </w:rPr>
      </w:pPr>
      <w:r>
        <w:rPr>
          <w:rFonts w:ascii="Times New Roman" w:hAnsi="Times New Roman" w:cs="Times New Roman"/>
        </w:rPr>
        <w:t xml:space="preserve">Detrás de cada capa de la </w:t>
      </w:r>
      <w:r>
        <w:t>Sacher-Torte</w:t>
      </w:r>
      <w:r>
        <w:rPr>
          <w:rFonts w:ascii="Times New Roman" w:hAnsi="Times New Roman" w:cs="Times New Roman"/>
        </w:rPr>
        <w:t xml:space="preserve"> analizada anteriormente se encuentra una arquitectura temporal tan fundamental para el funcionamiento de la cadena de bloques que se confunde fácilmente con una característica natural de la computación, en lugar de una elección contingente y muy particular sobre cómo debe organizarse la sucesión en sí misma. Cada bloque se encadena a su predecesor al incorporar, a través de su hash, la totalidad de lo que vino antes; el </w:t>
      </w:r>
      <w:r>
        <w:rPr>
          <w:rFonts w:ascii="Times New Roman" w:hAnsi="Times New Roman" w:cs="Times New Roman"/>
        </w:rPr>
        <w:t xml:space="preserve">libro mayor resultante</w:t>
      </w:r>
      <w:r>
        <w:rPr>
          <w:rFonts w:ascii="Times New Roman" w:hAnsi="Times New Roman" w:cs="Times New Roman"/>
        </w:rPr>
        <w:lastRenderedPageBreak/>
      </w:r>
      <w:r>
        <w:rPr>
          <w:rFonts w:ascii="Times New Roman" w:hAnsi="Times New Roman" w:cs="Times New Roman"/>
        </w:rPr>
        <w:t xml:space="preserve"> avanza a lo largo de un único vector aplanado y unidireccional del cual no se tolera ninguna desviación —salvo las bifurcaciones— una vez que se establece el consenso. Este vector es a la vez producido por el tiempo y constitutivo de él: la cadena no se limita a registrar eventos que ocurren en el tiempo, sino que fabrica, a partir de la secuencia de bloques validados, el único tiempo que el propio sistema es capaz de reconocer. Nick Land, en una influyente interpretación del protocolo de Nakamoto, fue aún más lejos, argumentando que la cadena de bloques resuelve lo que el espacio-tiempo relativista declara insoluble: el problema de establecer una sucesión absoluta y consensuada entre observadores distribuidos y asincrónicos, ya que cada uno de los generales bizantinos, al carecer de un reloj soberano al que consultar, es sin embargo capaz de inferir, solo a partir de la profundidad y la dificultad de la cadena de prueba de trabajo, cuánto trabajo colectivo requirió un plan determinado y, por lo tanto, cuál de varios planes en competencia realmente cuenta con el apoyo de la mayoría.</w:t>
      </w:r>
      <w:r>
        <w:rPr>
          <w:rStyle w:val="FootnoteReference"/>
          <w:rFonts w:ascii="Times New Roman" w:hAnsi="Times New Roman" w:cs="Times New Roman"/>
        </w:rPr>
        <w:footnoteReference w:id="149"/>
      </w:r>
      <w:r>
        <w:rPr>
          <w:rFonts w:ascii="Times New Roman" w:hAnsi="Times New Roman" w:cs="Times New Roman"/>
        </w:rPr>
        <w:t xml:space="preserve"> Según esta interpretación, la cadena de bloques no se limita a utilizar el tiempo; fabrica un tiempo absoluto artificial, por primera vez en la historia de la humanidad, sin recurrir al tipo de sincronización externa que atormentó </w:t>
      </w:r>
      <w:r>
        <w:rPr>
          <w:rFonts w:ascii="Times New Roman" w:hAnsi="Times New Roman" w:cs="Times New Roman"/>
        </w:rPr>
        <w:t xml:space="preserve">las luchas contemporáneas y convergentes </w:t>
      </w:r>
      <w:r>
        <w:rPr>
          <w:rFonts w:ascii="Times New Roman" w:hAnsi="Times New Roman" w:cs="Times New Roman"/>
        </w:rPr>
        <w:t xml:space="preserve">de Einstein</w:t>
      </w:r>
      <w:r>
        <w:rPr>
          <w:rFonts w:ascii="Times New Roman" w:hAnsi="Times New Roman" w:cs="Times New Roman"/>
        </w:rPr>
        <w:t xml:space="preserve"> y </w:t>
      </w:r>
      <w:r>
        <w:rPr>
          <w:rFonts w:ascii="Times New Roman" w:hAnsi="Times New Roman" w:cs="Times New Roman"/>
        </w:rPr>
        <w:t xml:space="preserve">Poincaré </w:t>
      </w:r>
      <w:r>
        <w:rPr>
          <w:rFonts w:ascii="Times New Roman" w:hAnsi="Times New Roman" w:cs="Times New Roman"/>
        </w:rPr>
        <w:t xml:space="preserve">con la simultaneidad entre observadores distribuidos.</w:t>
      </w:r>
      <w:r>
        <w:rPr>
          <w:rStyle w:val="FootnoteReference"/>
          <w:rFonts w:ascii="Times New Roman" w:hAnsi="Times New Roman" w:cs="Times New Roman"/>
        </w:rPr>
        <w:footnoteReference w:id="150"/>
      </w:r>
    </w:p>
    <w:p w:rsidR="0087065B" w:rsidRDefault="0087065B" w14:paraId="098C405A" w14:textId="77777777">
      <w:pPr>
        <w:rPr>
          <w:rFonts w:ascii="Times New Roman" w:hAnsi="Times New Roman" w:cs="Times New Roman"/>
        </w:rPr>
      </w:pPr>
    </w:p>
    <w:p w:rsidR="0087065B" w:rsidRDefault="00000000" w14:paraId="648D61DC" w14:textId="77777777">
      <w:pPr>
        <w:rPr>
          <w:rFonts w:ascii="Times New Roman" w:hAnsi="Times New Roman" w:cs="Times New Roman"/>
        </w:rPr>
      </w:pPr>
      <w:r>
        <w:rPr>
          <w:rFonts w:ascii="Times New Roman" w:hAnsi="Times New Roman" w:cs="Times New Roman"/>
        </w:rPr>
        <w:t xml:space="preserve">Es mejor interpretar esa afirmación como una afirmación sobre la semiótica interna del sistema más que como un problema metafísico resuelto, ya que la literatura empírica y formal sobre la temporalidad de la cadena de bloques muestra que el carácter «absoluto» de la sucesión en la cadena de bloques es un logro que se obtiene continuamente, a un costo, más que una estructura dada de una vez por todas. El tratamiento formal que Pérez-Marco hace del «tiempo de la cadena de bloques» deriva el reloj interno de la red a partir de los </w:t>
      </w:r>
      <w:r>
        <w:t>pulsos</w:t>
      </w:r>
      <w:r>
        <w:rPr>
          <w:rFonts w:ascii="Times New Roman" w:hAnsi="Times New Roman" w:cs="Times New Roman"/>
        </w:rPr>
        <w:t xml:space="preserve"> discretos de la validación de bloques bajo la Prueba de Trabajo, y muestra que la incertidumbre en la precisión de ese reloj está ligada, mediante una relación formalmente análoga al principio de incertidumbre de Heisenberg entre tiempo y energía, a la energía que la mayoría de los nodos debe gastar para avanzar la cadena una unidad: la cronología, en otras palabras, no es gratuita, y cuanto más preciso se quiera fijar el tiempo de la cadena de bloques, más energía requiere su producción.</w:t>
      </w:r>
      <w:r>
        <w:rPr>
          <w:rStyle w:val="FootnoteReference"/>
          <w:rFonts w:ascii="Times New Roman" w:hAnsi="Times New Roman" w:cs="Times New Roman"/>
        </w:rPr>
        <w:footnoteReference w:id="151"/>
      </w:r>
      <w:r>
        <w:rPr>
          <w:rFonts w:ascii="Times New Roman" w:hAnsi="Times New Roman" w:cs="Times New Roman"/>
        </w:rPr>
        <w:t xml:space="preserve"> El tiempo aquí no es anterior al sistema; es lo que el propio gasto de trabajo del sistema hace surgir, un bloque validado a la vez. Una literatura empírica complementaria muestra que incluso este tiempo producido internamente no es experimentado de manera uniforme o simultánea por los nodos que constituyen la red. El análisis de Chen, Feng y Huang sobre Bitcoin como un «sistema de tiempo no continuo» distingue el tiempo físico —en el que se producen, propagan y observan los bloques— de la coordenada histórica que confiere únicamente la secuencia aceptada de estados; los nodos adoptan el mismo bloque en momentos físicos distintos; los bloques candidatos que compiten pueden ocupar brevemente la misma posición histórica antes de que la regla de la cadena más larga resuelva la competencia; y el avance del sistema no se basa en ningún presente físico compartido, sino en un pasado heredado y estabilizado retrospectivamente.</w:t>
      </w:r>
      <w:r>
        <w:rPr>
          <w:rStyle w:val="FootnoteReference"/>
          <w:rFonts w:ascii="Times New Roman" w:hAnsi="Times New Roman" w:cs="Times New Roman"/>
        </w:rPr>
        <w:footnoteReference w:id="152"/>
      </w:r>
    </w:p>
    <w:p w:rsidR="0087065B" w:rsidRDefault="0087065B" w14:paraId="5AE6F5BB" w14:textId="77777777">
      <w:pPr>
        <w:rPr>
          <w:rFonts w:ascii="Times New Roman" w:hAnsi="Times New Roman" w:cs="Times New Roman"/>
        </w:rPr>
      </w:pPr>
    </w:p>
    <w:p w:rsidR="0087065B" w:rsidRDefault="00000000" w14:paraId="696DE737" w14:textId="77777777">
      <w:pPr>
        <w:rPr>
          <w:rFonts w:ascii="Times New Roman" w:hAnsi="Times New Roman" w:cs="Times New Roman"/>
        </w:rPr>
      </w:pPr>
      <w:r>
        <w:rPr>
          <w:rFonts w:ascii="Times New Roman" w:hAnsi="Times New Roman" w:cs="Times New Roman"/>
        </w:rPr>
        <w:t xml:space="preserve">Bowden lleva este argumento hasta su conclusión política. Si la sucesión de la cadena de bloques fuera genuinamente absoluta, en el sentido estricto de Land, las bifurcaciones —el mismo mecanismo considerado anteriormente como un síntoma de resistencia a la codificación dominante— serían imposibles en lugar de endémicas. El hecho de que las bifurcaciones ocurran regularmente, y de que cada una de ellas represente una reivindicación rival de ser la continuación legítima de la misma historia previa, revela que el artículo definido en «la cadena de bloques» es en sí mismo un logro político más que un hecho técnico:</w:t>
      </w:r>
      <w:r>
        <w:rPr>
          <w:rFonts w:ascii="Times New Roman" w:hAnsi="Times New Roman" w:cs="Times New Roman"/>
        </w:rPr>
        <w:lastRenderedPageBreak/>
      </w:r>
      <w:r>
        <w:rPr>
          <w:rFonts w:ascii="Times New Roman" w:hAnsi="Times New Roman" w:cs="Times New Roman"/>
        </w:rPr>
        <w:t xml:space="preserve"> cualquiera que sea la continuación que acumule el mayor peso de validación posterior se adjudica retrospectivamente el estatus de haber sido la única sucesión verdadera desde el principio, mientras que la rama abandonada se reclasifica, a posteriori, como si nunca hubiera formado parte de la historia.</w:t>
      </w:r>
      <w:r>
        <w:rPr>
          <w:rStyle w:val="FootnoteReference"/>
          <w:rFonts w:ascii="Times New Roman" w:hAnsi="Times New Roman" w:cs="Times New Roman"/>
        </w:rPr>
        <w:footnoteReference w:id="153"/>
      </w:r>
      <w:r>
        <w:rPr>
          <w:rFonts w:ascii="Times New Roman" w:hAnsi="Times New Roman" w:cs="Times New Roman"/>
        </w:rPr>
        <w:t xml:space="preserve"> La sucesión absoluta, según esta interpretación, no es una propiedad que la cadena de bloques descubra con el tiempo; es un título disputado entre cadenas rivales y otorgado, de manera provisional y siempre reversible, por el trabajo acumulado de la mayoría que prevalezca.</w:t>
      </w:r>
    </w:p>
    <w:p w:rsidR="0087065B" w:rsidRDefault="0087065B" w14:paraId="596DC8EE" w14:textId="77777777">
      <w:pPr>
        <w:rPr>
          <w:rFonts w:ascii="Times New Roman" w:hAnsi="Times New Roman" w:cs="Times New Roman"/>
        </w:rPr>
      </w:pPr>
    </w:p>
    <w:p w:rsidR="0087065B" w:rsidRDefault="00000000" w14:paraId="63C240E7" w14:textId="77777777">
      <w:pPr>
        <w:rPr>
          <w:rFonts w:ascii="Times New Roman" w:hAnsi="Times New Roman" w:cs="Times New Roman"/>
        </w:rPr>
      </w:pPr>
      <w:r>
        <w:rPr>
          <w:rFonts w:ascii="Times New Roman" w:hAnsi="Times New Roman" w:cs="Times New Roman"/>
        </w:rPr>
        <w:t xml:space="preserve">Lo que no debe perderse de vista, ya sea en la lectura optimista o en la pesimista, es la forma específica de ordenación temporal que requiere la cadena de bloques para poder funcionar como sistema regulador. La cadena avanza estrictamente en serie: cada estado se deriva, y solo </w:t>
      </w:r>
      <w:r>
        <w:t>del</w:t>
      </w:r>
      <w:r>
        <w:rPr>
          <w:rFonts w:ascii="Times New Roman" w:hAnsi="Times New Roman" w:cs="Times New Roman"/>
        </w:rPr>
        <w:t xml:space="preserve"> único estado que lo precedió inmediatamente, y el movimiento dialéctico de bloque a bloque —la tesis incorporada, sintetizada y cerrada antes de que se pueda considerar la siguiente tesis— es lo que permite que el libro mayor sirva, en primer lugar, como un registro confiable. Esa misma serialidad es también un límite constitutivo. Un sistema cuya integridad depende de la validación irreversible, sin superposiciones y de uno en uno de los estados sucesivos no puede, sin abandonar la propiedad misma que lo hace confiable, dar cabida a modelos computacionales basados en la superposición, la evaluación paralela o no secuencial, ni al razonamiento probabilístico y no clásico característico del procesamiento de información cuántica. La cadena de bloques es poderosa precisamente en la medida en que se compromete con un modelo clásico, lineal y dialéctico de sucesión; es limitada por la misma razón. Esa limitación no es meramente técnica. Revela, de manera excepcionalmente cruda, un compromiso humano mucho más antiguo —ya visible en la asociación que hace Kant entre la aritmética y el tiempo, y entre la geometría y el espacio, y desarrollado administrativamente en los esfuerzos de los siglos XIX y XX por estandarizar los relojes en todos los imperios y profesiones— con la proposición de que el orden colectivo requiere una descripción única, compartida y ordenada sucesivamente de qué precedió a qué.</w:t>
      </w:r>
      <w:r>
        <w:rPr>
          <w:rStyle w:val="FootnoteReference"/>
          <w:rFonts w:ascii="Times New Roman" w:hAnsi="Times New Roman" w:cs="Times New Roman"/>
        </w:rPr>
        <w:footnoteReference w:id="154"/>
      </w:r>
      <w:r>
        <w:rPr>
          <w:rFonts w:ascii="Times New Roman" w:hAnsi="Times New Roman" w:cs="Times New Roman"/>
        </w:rPr>
        <w:t xml:space="preserve"> La gran innovación de la cadena de bloques (blockchain) consiste en haber automatizado ese compromiso y haber distribuido su aplicación a través de una red de máquinas sin líder; su gran limitación es que solo puede automatizar esa única visión del tiempo, específica desde el punto de vista cultural e histórico. Las propuestas recientes sobre las llamadas cadenas de bloques cuánticas son reveladoras precisamente en este punto. Incluso cuando los ingenieros incorporan representaciones genuinamente no clásicas —qubits codificados por fase, estados de Greenberger–Horne–Zeilinger entrelazados a través de fotones que nunca coexisten simultáneamente— en el libro mayor, las arquitecturas resultantes siguen encadenando bloques sucesivos a través de una estructura temporal generada de manera recursiva y estrictamente sucesiva, en la que cada nuevo estado entrelazado se construye únicamente a partir del que lo precede inmediatamente.</w:t>
      </w:r>
      <w:r>
        <w:rPr>
          <w:rStyle w:val="FootnoteReference"/>
          <w:rFonts w:ascii="Times New Roman" w:hAnsi="Times New Roman" w:cs="Times New Roman"/>
        </w:rPr>
        <w:footnoteReference w:id="155"/>
      </w:r>
      <w:r>
        <w:rPr>
          <w:rFonts w:ascii="Times New Roman" w:hAnsi="Times New Roman" w:cs="Times New Roman"/>
        </w:rPr>
        <w:t xml:space="preserve"> Por lo tanto, el intento de incorporar la superposición cuántica y la información de fase no secuencial al bloque en sí no disuelve la serialidad dialéctica que se ha descrito en esta parte; se injerta sobre esa serialidad, la cual sobrevive a la traducción a un sustrato cuántico esencialmente intacta.</w:t>
      </w:r>
    </w:p>
    <w:p w:rsidR="0087065B" w:rsidRDefault="0087065B" w14:paraId="260568DE" w14:textId="77777777">
      <w:pPr>
        <w:rPr>
          <w:rFonts w:ascii="Times New Roman" w:hAnsi="Times New Roman" w:cs="Times New Roman"/>
        </w:rPr>
      </w:pPr>
    </w:p>
    <w:p w:rsidR="0087065B" w:rsidRDefault="00000000" w14:paraId="3894CF09" w14:textId="77777777">
      <w:pPr>
        <w:rPr>
          <w:rFonts w:ascii="Times New Roman" w:hAnsi="Times New Roman" w:cs="Times New Roman"/>
        </w:rPr>
      </w:pPr>
      <w:r>
        <w:rPr>
          <w:rFonts w:ascii="Times New Roman" w:hAnsi="Times New Roman" w:cs="Times New Roman"/>
        </w:rPr>
        <w:t xml:space="preserve">En el nivel más amplio, entonces, la arquitectura cronológica de la cadena de bloques es en sí misma un artefacto de la intersubjetividad humana, ahora proyectada hacia afuera y administrada parcialmente por sus extensiones computacionales y tecnológicamente mejoradas. La secuenciación de los nodos a lo largo del vector aplanado y unidireccional examinado a lo largo de esta parte es tanto un efecto de ese compromiso intersubjetivo con la sucesión lineal</w:t>
      </w:r>
      <w:r>
        <w:rPr>
          <w:rFonts w:ascii="Times New Roman" w:hAnsi="Times New Roman" w:cs="Times New Roman"/>
        </w:rPr>
        <w:lastRenderedPageBreak/>
      </w:r>
      <w:r>
        <w:rPr>
          <w:rFonts w:ascii="Times New Roman" w:hAnsi="Times New Roman" w:cs="Times New Roman"/>
        </w:rPr>
        <w:t xml:space="preserve"> como, de manera recursiva, un mecanismo para reproducirla y consolidarla: cada bloque validado le enseña al sistema, y a los humanos que confían en él, que el orden es simplemente secuencia, que la legitimidad es simplemente precedencia, y que la única historia que vale la pena heredar es aquella que puede contarse como una única cadena de custodia que avanza desde un único bloque génesis. Si algún día las arquitecturas de confianza no secuenciales, paralelas o compatibles con la mecánica cuántica podrían relajar ese compromiso —y en qué medida— sin renunciar a la auditabilidad que este proporciona, es una pregunta que este artículo deja abierta; basta, a los efectos del presente artículo, con haber demostrado que la célebre solución de la cadena de bloques al problema de la sucesión no es un descubrimiento sobre el tiempo en sí mismo, sino una elección altamente disciplinada, que consume mucha energía y políticamente controvertida sobre cuál de varias visiones posibles del tiempo debe imponerse a un sistema regulatorio.</w:t>
      </w:r>
    </w:p>
    <w:p w:rsidRPr="002162E0" w:rsidR="000B6376" w:rsidP="00D33081" w:rsidRDefault="000B6376" w14:paraId="76159B92" w14:textId="77777777">
      <w:pPr>
        <w:rPr>
          <w:rFonts w:ascii="Times New Roman" w:hAnsi="Times New Roman" w:cs="Times New Roman"/>
        </w:rPr>
      </w:pPr>
    </w:p>
    <w:p w:rsidRPr="002162E0" w:rsidR="008355B1" w:rsidP="00D33081" w:rsidRDefault="00D1660B" w14:paraId="13F0FF25" w14:textId="47B61974">
      <w:pPr>
        <w:rPr>
          <w:rFonts w:ascii="Times New Roman" w:hAnsi="Times New Roman" w:cs="Times New Roman"/>
        </w:rPr>
      </w:pPr>
      <w:r>
        <w:rPr>
          <w:rFonts w:ascii="Times New Roman" w:hAnsi="Times New Roman" w:cs="Times New Roman"/>
        </w:rPr>
        <w:t xml:space="preserve">VI. La dialéctica entre el </w:t>
      </w:r>
      <w:r>
        <w:t>gobierno</w:t>
      </w:r>
      <w:r>
        <w:rPr>
          <w:rFonts w:ascii="Times New Roman" w:hAnsi="Times New Roman" w:cs="Times New Roman"/>
        </w:rPr>
        <w:t xml:space="preserve"> del </w:t>
      </w:r>
      <w:r>
        <w:t>código</w:t>
      </w:r>
      <w:r>
        <w:rPr>
          <w:rFonts w:ascii="Times New Roman" w:hAnsi="Times New Roman" w:cs="Times New Roman"/>
        </w:rPr>
        <w:t xml:space="preserve"> y la «codificación» textual tradicional, y su amenaza al </w:t>
      </w:r>
      <w:r>
        <w:t>gobierno</w:t>
      </w:r>
      <w:r>
        <w:rPr>
          <w:rFonts w:ascii="Times New Roman" w:hAnsi="Times New Roman" w:cs="Times New Roman"/>
        </w:rPr>
        <w:t xml:space="preserve"> del </w:t>
      </w:r>
      <w:r>
        <w:t>código</w:t>
      </w:r>
      <w:r>
        <w:rPr>
          <w:rFonts w:ascii="Times New Roman" w:hAnsi="Times New Roman" w:cs="Times New Roman"/>
        </w:rPr>
        <w:t>.</w:t>
      </w:r>
    </w:p>
    <w:p w:rsidR="00A665B1" w:rsidP="00A665B1" w:rsidRDefault="00A665B1" w14:paraId="49A2CE14" w14:textId="77777777">
      <w:pPr>
        <w:ind w:firstLine="720"/>
        <w:rPr>
          <w:rFonts w:ascii="Times New Roman" w:hAnsi="Times New Roman" w:cs="Times New Roman"/>
        </w:rPr>
      </w:pPr>
    </w:p>
    <w:p w:rsidR="00427B1A" w:rsidP="00A665B1" w:rsidRDefault="00A665B1" w14:paraId="09B078C4" w14:textId="0EEA9298">
      <w:pPr>
        <w:ind w:firstLine="720"/>
        <w:rPr>
          <w:rFonts w:ascii="Times New Roman" w:hAnsi="Times New Roman" w:cs="Times New Roman"/>
        </w:rPr>
      </w:pPr>
      <w:r>
        <w:rPr>
          <w:rFonts w:ascii="Times New Roman" w:hAnsi="Times New Roman" w:cs="Times New Roman"/>
        </w:rPr>
        <w:t xml:space="preserve">Una vez que se comprende la ecología comunicativa de múltiples capas del código, la dialéctica entre el Estado de derecho y el </w:t>
      </w:r>
      <w:r>
        <w:t>gobierno</w:t>
      </w:r>
      <w:r>
        <w:rPr>
          <w:rFonts w:ascii="Times New Roman" w:hAnsi="Times New Roman" w:cs="Times New Roman"/>
        </w:rPr>
        <w:t xml:space="preserve"> del código se presenta bajo una luz diferente. La cuestión no es simplemente si un sistema debe dominar al otro, sino si alguno de los dos puede proyectar de manera inteligible sus mandatos normativos a través de las transformaciones semióticas y fenomenológicas en capas que constituyen la regulación codificada. Ya se observan variaciones de esto en el contexto empresarial que se remontan a </w:t>
      </w:r>
      <w:r>
        <w:t>los albores del siglo XXI</w:t>
      </w:r>
      <w:r>
        <w:rPr>
          <w:rFonts w:ascii="Times New Roman" w:hAnsi="Times New Roman" w:cs="Times New Roman"/>
        </w:rPr>
        <w:t xml:space="preserve">.</w:t>
      </w:r>
      <w:r>
        <w:rPr>
          <w:rStyle w:val="FootnoteReference"/>
          <w:rFonts w:ascii="Times New Roman" w:hAnsi="Times New Roman" w:cs="Times New Roman"/>
        </w:rPr>
        <w:footnoteReference w:id="156"/>
      </w:r>
      <w:r>
        <w:rPr>
          <w:rFonts w:ascii="Times New Roman" w:hAnsi="Times New Roman" w:cs="Times New Roman"/>
        </w:rPr>
        <w:t xml:space="preserve"> Es desde esa perspectiva que se puede evaluar con mayor precisión la amenaza que representa la codificación textual tradicional y las presunciones de jerarquía que conlleva.</w:t>
      </w:r>
    </w:p>
    <w:p w:rsidRPr="002162E0" w:rsidR="007F0C11" w:rsidP="004E3A22" w:rsidRDefault="007F0C11" w14:paraId="3FF03DAC" w14:textId="77777777">
      <w:pPr>
        <w:ind w:firstLine="720"/>
        <w:rPr>
          <w:rFonts w:ascii="Times New Roman" w:hAnsi="Times New Roman" w:cs="Times New Roman"/>
        </w:rPr>
      </w:pPr>
    </w:p>
    <w:p w:rsidRPr="002162E0" w:rsidR="00A56785" w:rsidP="006340FC" w:rsidRDefault="00A56785" w14:paraId="407C033C" w14:textId="0C6A8DF7">
      <w:pPr>
        <w:ind w:firstLine="720"/>
        <w:rPr>
          <w:rFonts w:ascii="Times New Roman" w:hAnsi="Times New Roman" w:cs="Times New Roman"/>
        </w:rPr>
      </w:pPr>
      <w:r>
        <w:rPr>
          <w:rFonts w:ascii="Times New Roman" w:hAnsi="Times New Roman" w:cs="Times New Roman"/>
        </w:rPr>
        <w:t xml:space="preserve">Todo esto sugiere la naturaleza de la amenaza. Una breve alusión a algunas de sus dimensiones aporta contexto. La cuestión fundamental es la de la jerarquía frente a la anarquía. En cierto sentido, la «batalla» entre el </w:t>
      </w:r>
      <w:r>
        <w:t>gobierno</w:t>
      </w:r>
      <w:r>
        <w:rPr>
          <w:rFonts w:ascii="Times New Roman" w:hAnsi="Times New Roman" w:cs="Times New Roman"/>
        </w:rPr>
        <w:t xml:space="preserve"> del </w:t>
      </w:r>
      <w:r>
        <w:t>código</w:t>
      </w:r>
      <w:r>
        <w:rPr>
          <w:rFonts w:ascii="Times New Roman" w:hAnsi="Times New Roman" w:cs="Times New Roman"/>
        </w:rPr>
        <w:t xml:space="preserve"> y el </w:t>
      </w:r>
      <w:r>
        <w:t>Estado</w:t>
      </w:r>
      <w:r>
        <w:rPr>
          <w:rFonts w:ascii="Times New Roman" w:hAnsi="Times New Roman" w:cs="Times New Roman"/>
        </w:rPr>
        <w:t xml:space="preserve"> de </w:t>
      </w:r>
      <w:r>
        <w:t>derecho</w:t>
      </w:r>
      <w:r>
        <w:rPr>
          <w:rFonts w:ascii="Times New Roman" w:hAnsi="Times New Roman" w:cs="Times New Roman"/>
        </w:rPr>
        <w:t xml:space="preserve"> es en sí misma una construcción que surge de un conjunto de presunciones que el </w:t>
      </w:r>
      <w:r>
        <w:t>gobierno</w:t>
      </w:r>
      <w:r>
        <w:rPr>
          <w:rFonts w:ascii="Times New Roman" w:hAnsi="Times New Roman" w:cs="Times New Roman"/>
        </w:rPr>
        <w:t xml:space="preserve"> del </w:t>
      </w:r>
      <w:r>
        <w:t>código</w:t>
      </w:r>
      <w:r>
        <w:rPr>
          <w:rFonts w:ascii="Times New Roman" w:hAnsi="Times New Roman" w:cs="Times New Roman"/>
        </w:rPr>
        <w:t xml:space="preserve"> rechaza de antemano. El </w:t>
      </w:r>
      <w:r>
        <w:t>gobierno</w:t>
      </w:r>
      <w:r>
        <w:rPr>
          <w:rFonts w:ascii="Times New Roman" w:hAnsi="Times New Roman" w:cs="Times New Roman"/>
        </w:rPr>
        <w:t xml:space="preserve"> del </w:t>
      </w:r>
      <w:r>
        <w:t>código</w:t>
      </w:r>
      <w:r>
        <w:rPr>
          <w:rFonts w:ascii="Times New Roman" w:hAnsi="Times New Roman" w:cs="Times New Roman"/>
        </w:rPr>
        <w:t xml:space="preserve"> no abraza el ideal de las jerarquías legales, ni de los arreglos jerárquicos de los colectivos humanos con el poder de promulgar o interpretar tanto las jerarquías legales (medidas constitucionales, estatutarias y reglamentarias, por ejemplo) como su aplicación. Aún más fundamental puede ser el rechazo, inherente al </w:t>
      </w:r>
      <w:r>
        <w:t>gobierno</w:t>
      </w:r>
      <w:r>
        <w:rPr>
          <w:rFonts w:ascii="Times New Roman" w:hAnsi="Times New Roman" w:cs="Times New Roman"/>
        </w:rPr>
        <w:t xml:space="preserve"> del </w:t>
      </w:r>
      <w:r>
        <w:t>código</w:t>
      </w:r>
      <w:r>
        <w:rPr>
          <w:rFonts w:ascii="Times New Roman" w:hAnsi="Times New Roman" w:cs="Times New Roman"/>
        </w:rPr>
        <w:t xml:space="preserve">, del principio de que el ser humano tenga mucho que decir al respecto en cuanto a las estructuras de su propia regulación, más allá de lo que se le inyecta a través de sus programadores (presumiblemente) humanos. El </w:t>
      </w:r>
      <w:r>
        <w:t>gobierno</w:t>
      </w:r>
      <w:r>
        <w:rPr>
          <w:rFonts w:ascii="Times New Roman" w:hAnsi="Times New Roman" w:cs="Times New Roman"/>
        </w:rPr>
        <w:t xml:space="preserve"> del </w:t>
      </w:r>
      <w:r>
        <w:t>código</w:t>
      </w:r>
      <w:r>
        <w:rPr>
          <w:rFonts w:ascii="Times New Roman" w:hAnsi="Times New Roman" w:cs="Times New Roman"/>
        </w:rPr>
        <w:t>, al igual que los sistemas de cadena de bloques, son cosas en sí mismas. Se fundamentan en la autonomía —no solo como sujetos fenomenológicos, sino también como sujetos jurídicos internamente coherentes—. Sin embargo, estas premisas ordenadoras son anatema para los sistemas de gobierno físico basados en el ser humano, que se fundamentan inherentemente en la centralidad del ser humano y, por lo tanto, en la naturaleza subordinada e instrumental de todo lo demás.</w:t>
      </w:r>
    </w:p>
    <w:p w:rsidRPr="002162E0" w:rsidR="00DF09B7" w:rsidP="00D33081" w:rsidRDefault="00DF09B7" w14:paraId="32C599AD" w14:textId="77777777">
      <w:pPr>
        <w:rPr>
          <w:rFonts w:ascii="Times New Roman" w:hAnsi="Times New Roman" w:cs="Times New Roman"/>
        </w:rPr>
      </w:pPr>
    </w:p>
    <w:p w:rsidRPr="002162E0" w:rsidR="00F54E59" w:rsidP="006340FC" w:rsidRDefault="00DF09B7" w14:paraId="577846F2" w14:textId="5446C5B2">
      <w:pPr>
        <w:ind w:firstLine="720"/>
        <w:rPr>
          <w:rFonts w:ascii="Times New Roman" w:hAnsi="Times New Roman" w:cs="Times New Roman"/>
        </w:rPr>
      </w:pPr>
      <w:r>
        <w:rPr>
          <w:rFonts w:ascii="Times New Roman" w:hAnsi="Times New Roman" w:cs="Times New Roman"/>
        </w:rPr>
        <w:t xml:space="preserve">Y, sin embargo, existe un grado sustancial de interconectividad; solo que su orden sigue siendo un misterio. Es un misterio que se acentúa por la inaccesibilidad del lenguaje de máquina, y que se vuelve más preocupante cuando la inteligencia generativa se convierte en la dueña no solo de su propio lenguaje, sino también del lenguaje de programación de origen del que proviene su propio lenguaje de máquina.</w:t>
      </w:r>
      <w:r>
        <w:rPr>
          <w:rStyle w:val="FootnoteReference"/>
          <w:rFonts w:ascii="Times New Roman" w:hAnsi="Times New Roman" w:cs="Times New Roman"/>
        </w:rPr>
        <w:footnoteReference w:id="157"/>
      </w:r>
      <w:r>
        <w:rPr>
          <w:rFonts w:ascii="Times New Roman" w:hAnsi="Times New Roman" w:cs="Times New Roman"/>
        </w:rPr>
        <w:t xml:space="preserve"> Los programadores humanos siguen tan apegados al </w:t>
      </w:r>
      <w:r>
        <w:t>Estado</w:t>
      </w:r>
      <w:r>
        <w:rPr>
          <w:rFonts w:ascii="Times New Roman" w:hAnsi="Times New Roman" w:cs="Times New Roman"/>
        </w:rPr>
        <w:t xml:space="preserve"> de derecho humano, como constructo legal, social y cultural, lo entiendan o no. Todo lo que se internaliza en sus procesos cognitivos constituye la base del orden y la racionalización de su enfoque ante problemas, cuestiones, hechos, procesos y similares. Y el </w:t>
      </w:r>
      <w:r>
        <w:t>Estado</w:t>
      </w:r>
      <w:r>
        <w:rPr>
          <w:rFonts w:ascii="Times New Roman" w:hAnsi="Times New Roman" w:cs="Times New Roman"/>
        </w:rPr>
        <w:t xml:space="preserve"> de derecho</w:t>
      </w:r>
      <w:r>
        <w:rPr>
          <w:rFonts w:ascii="Times New Roman" w:hAnsi="Times New Roman" w:cs="Times New Roman"/>
        </w:rPr>
        <w:lastRenderedPageBreak/>
      </w:r>
      <w:r>
        <w:rPr>
          <w:rFonts w:ascii="Times New Roman" w:hAnsi="Times New Roman" w:cs="Times New Roman"/>
        </w:rPr>
        <w:t xml:space="preserve"> siempre llega al ser humano.</w:t>
      </w:r>
      <w:r w:rsidR="004A1521">
        <w:rPr>
          <w:rStyle w:val="FootnoteReference"/>
          <w:rFonts w:ascii="Times New Roman" w:hAnsi="Times New Roman" w:cs="Times New Roman"/>
        </w:rPr>
        <w:footnoteReference w:id="158"/>
      </w:r>
      <w:r>
        <w:rPr>
          <w:rFonts w:ascii="Times New Roman" w:hAnsi="Times New Roman" w:cs="Times New Roman"/>
        </w:rPr>
        <w:t xml:space="preserve"> El problema es, por supuesto, que si bien se puede regular a los seres humanos —y se puede supervisar que el código fuente sea aceptable—, se tiene un control sustancialmente menor cuando eso se traduce al lenguaje y al universo cognitivo de la máquina.</w:t>
      </w:r>
      <w:r w:rsidR="004A1521">
        <w:rPr>
          <w:rStyle w:val="FootnoteReference"/>
          <w:rFonts w:ascii="Times New Roman" w:hAnsi="Times New Roman" w:cs="Times New Roman"/>
        </w:rPr>
        <w:footnoteReference w:id="159"/>
      </w:r>
      <w:r w:rsidR="004A1521">
        <w:rPr>
          <w:rFonts w:ascii="Times New Roman" w:hAnsi="Times New Roman" w:cs="Times New Roman"/>
        </w:rPr>
        <w:t xml:space="preserve"> No está claro que el Estado de derecho llegue alguna vez al sistema computacional, ni siquiera como código; y eso tiene implicaciones para la efectividad de codificar o legislar límites o restricciones.</w:t>
      </w:r>
      <w:r w:rsidR="00FC080B">
        <w:rPr>
          <w:rStyle w:val="FootnoteReference"/>
          <w:rFonts w:ascii="Times New Roman" w:hAnsi="Times New Roman" w:cs="Times New Roman"/>
        </w:rPr>
        <w:footnoteReference w:id="160"/>
      </w:r>
      <w:r w:rsidR="004A1521">
        <w:rPr>
          <w:rFonts w:ascii="Times New Roman" w:hAnsi="Times New Roman" w:cs="Times New Roman"/>
        </w:rPr>
        <w:t xml:space="preserve"> En ese sentido, el problema central del derecho en la esfera humana se reproduce como el problema central del código regulatorio.</w:t>
      </w:r>
      <w:r w:rsidR="00543BB9">
        <w:rPr>
          <w:rStyle w:val="FootnoteReference"/>
          <w:rFonts w:ascii="Times New Roman" w:hAnsi="Times New Roman" w:cs="Times New Roman"/>
        </w:rPr>
        <w:footnoteReference w:id="161"/>
      </w:r>
    </w:p>
    <w:p w:rsidRPr="002162E0" w:rsidR="00F54E59" w:rsidP="00D33081" w:rsidRDefault="00F54E59" w14:paraId="7D20E91B" w14:textId="77777777">
      <w:pPr>
        <w:rPr>
          <w:rFonts w:ascii="Times New Roman" w:hAnsi="Times New Roman" w:cs="Times New Roman"/>
        </w:rPr>
      </w:pPr>
    </w:p>
    <w:p w:rsidRPr="002162E0" w:rsidR="00DF09B7" w:rsidP="006340FC" w:rsidRDefault="00CE2E13" w14:paraId="1F7EE354" w14:textId="651B5321">
      <w:pPr>
        <w:ind w:firstLine="720"/>
        <w:rPr>
          <w:rFonts w:ascii="Times New Roman" w:hAnsi="Times New Roman" w:cs="Times New Roman"/>
        </w:rPr>
      </w:pPr>
      <w:r>
        <w:rPr>
          <w:rFonts w:ascii="Times New Roman" w:hAnsi="Times New Roman" w:cs="Times New Roman"/>
        </w:rPr>
        <w:t xml:space="preserve">Seguimos creyendo que la programación es nuestra, es humana.</w:t>
      </w:r>
      <w:r>
        <w:rPr>
          <w:rStyle w:val="FootnoteReference"/>
          <w:rFonts w:ascii="Times New Roman" w:hAnsi="Times New Roman" w:cs="Times New Roman"/>
        </w:rPr>
        <w:footnoteReference w:id="162"/>
      </w:r>
      <w:r>
        <w:rPr>
          <w:rFonts w:ascii="Times New Roman" w:hAnsi="Times New Roman" w:cs="Times New Roman"/>
        </w:rPr>
        <w:t xml:space="preserve"> Las máquinas, y pronto la inteligencia generativa, tal vez tengan una visión diferente. Pero como los humanos somos incapaces de acceder de manera efectiva a su lenguaje, incluida su traducción del nuestro, no está claro si alguna vez lo sabremos.</w:t>
      </w:r>
      <w:r>
        <w:rPr>
          <w:rStyle w:val="FootnoteReference"/>
          <w:rFonts w:ascii="Times New Roman" w:hAnsi="Times New Roman" w:cs="Times New Roman"/>
        </w:rPr>
        <w:footnoteReference w:id="163"/>
      </w:r>
      <w:r>
        <w:rPr>
          <w:rFonts w:ascii="Times New Roman" w:hAnsi="Times New Roman" w:cs="Times New Roman"/>
        </w:rPr>
        <w:t xml:space="preserve"> Esta perspectiva, tal vez, podría ser la forma más útil de abordar las alineaciones necesarias entre el </w:t>
      </w:r>
      <w:r>
        <w:rPr>
          <w:rFonts w:ascii="Times New Roman" w:hAnsi="Times New Roman" w:cs="Times New Roman"/>
        </w:rPr>
        <w:t>gobierno</w:t>
      </w:r>
      <w:r>
        <w:rPr>
          <w:rFonts w:ascii="Times New Roman" w:hAnsi="Times New Roman" w:cs="Times New Roman"/>
        </w:rPr>
        <w:t xml:space="preserve"> del </w:t>
      </w:r>
      <w:r>
        <w:rPr>
          <w:rFonts w:ascii="Times New Roman" w:hAnsi="Times New Roman" w:cs="Times New Roman"/>
        </w:rPr>
        <w:t>código</w:t>
      </w:r>
      <w:r>
        <w:rPr>
          <w:rFonts w:ascii="Times New Roman" w:hAnsi="Times New Roman" w:cs="Times New Roman"/>
        </w:rPr>
        <w:t xml:space="preserve"> y el derecho, cada uno superior en su propia esfera, pero también necesariamente interdependientes el uno del otro en cuanto a los componentes centrales que hacen posible su manifestación en el mundo virtual y analógico. Lo que esto sugiere, al final, es lo erróneo del marco analítico que han adoptado los </w:t>
      </w:r>
      <w:r>
        <w:rPr>
          <w:rFonts w:ascii="Times New Roman" w:hAnsi="Times New Roman" w:cs="Times New Roman"/>
        </w:rPr>
        <w:t>aparatchiks</w:t>
      </w:r>
      <w:r>
        <w:rPr>
          <w:rFonts w:ascii="Times New Roman" w:hAnsi="Times New Roman" w:cs="Times New Roman"/>
        </w:rPr>
        <w:t xml:space="preserve"> humanos y sus acólitos —uno basado en la supremacía fundamental de la codificación física humana a través de la ley como el mecanismo supremo para la realización de las obsesiones humanas, normativamente más o menos puras.</w:t>
      </w:r>
      <w:r>
        <w:rPr>
          <w:rStyle w:val="FootnoteReference"/>
          <w:rFonts w:ascii="Times New Roman" w:hAnsi="Times New Roman" w:cs="Times New Roman"/>
        </w:rPr>
        <w:footnoteReference w:id="164"/>
      </w:r>
      <w:r>
        <w:rPr>
          <w:rFonts w:ascii="Times New Roman" w:hAnsi="Times New Roman" w:cs="Times New Roman"/>
        </w:rPr>
        <w:t xml:space="preserve"> Esto pasa por alto la idea fundamental de que el lenguaje de máquina y su programación codificada en el código fuente siguen su propia lógica, basada en una semiótica del significado y una organización racional que, al mismo tiempo, resulta difícil de abordar para los humanos y es indiferente a los valores humanos —necesariamente así—. Eso no significa que los humanos cedan el terreno y se sometan a una gobernanza automatizada enriquecida por el lenguaje de máquina, llevada a cabo mediante una regulación codificada. Sí sugiere, sin embargo, que la regulación física y humana conserva un lugar en el corazón del </w:t>
      </w:r>
      <w:r>
        <w:rPr>
          <w:rFonts w:ascii="Times New Roman" w:hAnsi="Times New Roman" w:cs="Times New Roman"/>
          <w:i/>
          <w:iCs/>
        </w:rPr>
        <w:t xml:space="preserve">proyecto humano </w:t>
      </w:r>
      <w:r>
        <w:rPr>
          <w:rFonts w:ascii="Times New Roman" w:hAnsi="Times New Roman" w:cs="Times New Roman"/>
        </w:rPr>
        <w:t xml:space="preserve">y, en el caso de </w:t>
      </w:r>
      <w:r>
        <w:rPr>
          <w:rFonts w:ascii="Times New Roman" w:hAnsi="Times New Roman" w:cs="Times New Roman"/>
        </w:rPr>
        <w:t>la</w:t>
      </w:r>
      <w:r>
        <w:rPr>
          <w:rFonts w:ascii="Times New Roman" w:hAnsi="Times New Roman" w:cs="Times New Roman"/>
        </w:rPr>
        <w:t xml:space="preserve"> cadena de bloques</w:t>
      </w:r>
      <w:r>
        <w:rPr>
          <w:rFonts w:ascii="Times New Roman" w:hAnsi="Times New Roman" w:cs="Times New Roman"/>
        </w:rPr>
        <w:lastRenderedPageBreak/>
      </w:r>
      <w:r>
        <w:rPr>
          <w:rFonts w:ascii="Times New Roman" w:hAnsi="Times New Roman" w:cs="Times New Roman"/>
        </w:rPr>
        <w:t>, en aquellos puntos donde los humanos se encuentran con las máquinas: los llamados procesos «human-in-the-loop».</w:t>
      </w:r>
      <w:r>
        <w:rPr>
          <w:rStyle w:val="FootnoteReference"/>
          <w:rFonts w:ascii="Times New Roman" w:hAnsi="Times New Roman" w:cs="Times New Roman"/>
        </w:rPr>
        <w:footnoteReference w:id="165"/>
      </w:r>
      <w:r>
        <w:rPr>
          <w:rFonts w:ascii="Times New Roman" w:hAnsi="Times New Roman" w:cs="Times New Roman"/>
        </w:rPr>
        <w:t xml:space="preserve"> Pero probablemente abandonará la pretensión de que lo que se está regulando es la programación en sí misma, especialmente en su aspecto como la parte «máquina» del discurso humano-máquina.</w:t>
      </w:r>
      <w:r>
        <w:rPr>
          <w:rStyle w:val="FootnoteReference"/>
          <w:rFonts w:ascii="Times New Roman" w:hAnsi="Times New Roman" w:cs="Times New Roman"/>
        </w:rPr>
        <w:footnoteReference w:id="166"/>
      </w:r>
      <w:r>
        <w:rPr>
          <w:rFonts w:ascii="Times New Roman" w:hAnsi="Times New Roman" w:cs="Times New Roman"/>
        </w:rPr>
        <w:t xml:space="preserve"> En cambio, funcionará mejor como un marco de «efectos» o funcional, en el que el objetivo es el control del ser humano en su interacción con la máquina.</w:t>
      </w:r>
      <w:r>
        <w:rPr>
          <w:rStyle w:val="FootnoteReference"/>
          <w:rFonts w:ascii="Times New Roman" w:hAnsi="Times New Roman" w:cs="Times New Roman"/>
        </w:rPr>
        <w:footnoteReference w:id="167"/>
      </w:r>
      <w:r>
        <w:rPr>
          <w:rFonts w:ascii="Times New Roman" w:hAnsi="Times New Roman" w:cs="Times New Roman"/>
        </w:rPr>
        <w:t xml:space="preserve"> Ese marco es, en definitiva, la decisión de uso descrita en la Parte V, a la que la ley da contenido.</w:t>
      </w:r>
    </w:p>
    <w:p w:rsidRPr="002162E0" w:rsidR="007D2A08" w:rsidP="006E6407" w:rsidRDefault="007D2A08" w14:paraId="7A0F16E7" w14:textId="77777777">
      <w:pPr>
        <w:ind w:firstLine="720"/>
        <w:rPr>
          <w:rFonts w:ascii="Times New Roman" w:hAnsi="Times New Roman" w:cs="Times New Roman"/>
        </w:rPr>
      </w:pPr>
      <w:r>
        <w:rPr>
          <w:rFonts w:ascii="Times New Roman" w:hAnsi="Times New Roman" w:cs="Times New Roman"/>
        </w:rPr>
        <w:t xml:space="preserve">Se podría llevar esta idea un paso más allá, de manera reflexiva. Análisis recientes de las narrativas corporativas y gubernamentales sobre las tecnologías computacionales transformadoras han argumentado que cada explicación de para qué sirve una tecnología de este tipo es en sí misma un acto interesado de significación, promovido por una parte con interés en el orden resultante y calculado para asegurar una distribución particular de autoridad entre el ser humano y la máquina.</w:t>
      </w:r>
      <w:r>
        <w:rPr>
          <w:rStyle w:val="FootnoteReference"/>
          <w:rFonts w:ascii="Times New Roman" w:hAnsi="Times New Roman" w:cs="Times New Roman"/>
        </w:rPr>
        <w:footnoteReference w:id="168"/>
      </w:r>
      <w:r>
        <w:rPr>
          <w:rFonts w:ascii="Times New Roman" w:hAnsi="Times New Roman" w:cs="Times New Roman"/>
        </w:rPr>
        <w:t xml:space="preserve"> Lo mismo es válido para cada explicación del </w:t>
      </w:r>
      <w:r>
        <w:t>gobierno</w:t>
      </w:r>
      <w:r>
        <w:rPr>
          <w:rFonts w:ascii="Times New Roman" w:hAnsi="Times New Roman" w:cs="Times New Roman"/>
        </w:rPr>
        <w:t xml:space="preserve"> del </w:t>
      </w:r>
      <w:r>
        <w:t>código</w:t>
      </w:r>
      <w:r>
        <w:rPr>
          <w:rFonts w:ascii="Times New Roman" w:hAnsi="Times New Roman" w:cs="Times New Roman"/>
        </w:rPr>
        <w:t xml:space="preserve">, incluida esta. El modelo de la </w:t>
      </w:r>
      <w:r>
        <w:t>Sacher-Torte</w:t>
      </w:r>
      <w:r>
        <w:rPr>
          <w:rFonts w:ascii="Times New Roman" w:hAnsi="Times New Roman" w:cs="Times New Roman"/>
        </w:rPr>
        <w:t xml:space="preserve"> que aquí se propone no es una descripción neutral extraída de fuera del fenómeno que describe. Es en sí mismo una afirmación sobre dónde reside propiamente la autoridad, una vez que se entiende que la ley y el código habitan en universos cognitivos diferentes. Decir que la gobernanza debe reubicarse en las puertas en las que los humanos deciden si admiten lo que producen las capas inferiores ya es haber elegido, entre varias distribuciones plausibles de poder, la que recomienda este artículo. La pregunta que plantean todas las narrativas de gobernanza que giran tanto en torno a la cadena de bloques como a la inteligencia artificial no es, pues, qué explicación es la correcta, sino qué orden de autoridad entre humanos y máquinas está diseñada cada una para que parezca suficiente.</w:t>
      </w:r>
    </w:p>
    <w:p w:rsidRPr="002162E0" w:rsidR="00F54E59" w:rsidP="00D33081" w:rsidRDefault="00F54E59" w14:paraId="47D01BB2" w14:textId="77777777">
      <w:pPr>
        <w:rPr>
          <w:rFonts w:ascii="Times New Roman" w:hAnsi="Times New Roman" w:cs="Times New Roman"/>
        </w:rPr>
      </w:pPr>
    </w:p>
    <w:p w:rsidRPr="002162E0" w:rsidR="00B37FF8" w:rsidP="00D33081" w:rsidRDefault="003771F4" w14:paraId="1DBEF47A" w14:textId="7DBD0B19">
      <w:pPr>
        <w:rPr>
          <w:rFonts w:ascii="Times New Roman" w:hAnsi="Times New Roman" w:cs="Times New Roman"/>
        </w:rPr>
      </w:pPr>
      <w:r>
        <w:rPr>
          <w:rFonts w:ascii="Times New Roman" w:hAnsi="Times New Roman" w:cs="Times New Roman"/>
        </w:rPr>
        <w:t xml:space="preserve">VII. Conclusión</w:t>
      </w:r>
    </w:p>
    <w:p w:rsidRPr="002162E0" w:rsidR="00B37FF8" w:rsidP="00D33081" w:rsidRDefault="00B37FF8" w14:paraId="581039D4" w14:textId="77777777">
      <w:pPr>
        <w:rPr>
          <w:rFonts w:ascii="Times New Roman" w:hAnsi="Times New Roman" w:cs="Times New Roman"/>
        </w:rPr>
      </w:pPr>
    </w:p>
    <w:p w:rsidR="004817E5" w:rsidRDefault="004817E5" w14:paraId="6A01B1A1" w14:textId="37E0730A">
      <w:pPr>
        <w:ind w:firstLine="720"/>
        <w:rPr>
          <w:rFonts w:ascii="Times New Roman" w:hAnsi="Times New Roman" w:cs="Times New Roman"/>
        </w:rPr>
      </w:pPr>
      <w:r>
        <w:rPr>
          <w:rFonts w:ascii="Times New Roman" w:hAnsi="Times New Roman" w:cs="Times New Roman"/>
        </w:rPr>
        <w:t xml:space="preserve">Este artículo ha argumentado, a lo largo de sus diversos </w:t>
      </w:r>
      <w:r w:rsidR="0010181C">
        <w:rPr>
          <w:rFonts w:ascii="Times New Roman" w:hAnsi="Times New Roman" w:cs="Times New Roman"/>
        </w:rPr>
        <w:t xml:space="preserve">niveles</w:t>
      </w:r>
      <w:r>
        <w:rPr>
          <w:rFonts w:ascii="Times New Roman" w:hAnsi="Times New Roman" w:cs="Times New Roman"/>
        </w:rPr>
        <w:t xml:space="preserve"> analíticos</w:t>
      </w:r>
      <w:r>
        <w:rPr>
          <w:rFonts w:ascii="Times New Roman" w:hAnsi="Times New Roman" w:cs="Times New Roman"/>
        </w:rPr>
        <w:t xml:space="preserve">, que la suposición común que organiza la mayor parte del discurso contemporáneo sobre la cadena de bloques —a saber, que el código puede entenderse como una «regla» análoga a la ley— confunde el objeto de la regulación con algo considerablemente más pequeño y manejable de lo que realmente es, y que, por el contrario, es mejor concebir el código como un sistema en capas, un entorno o una ecología de producción de reglas, dentro del cual lo humano —y la sistémica humana en general— no se opone ni se obedece tanto como se ve progresivamente desplazado, traducido y, al final, solo parcialmente recuperable. El modelo de la </w:t>
      </w:r>
      <w:r>
        <w:t>Sacher-Torte</w:t>
      </w:r>
      <w:r>
        <w:rPr>
          <w:rFonts w:ascii="Times New Roman" w:hAnsi="Times New Roman" w:cs="Times New Roman"/>
        </w:rPr>
        <w:t xml:space="preserve"> desarrollado anteriormente le da a ese desplazamiento una estructura en lugar de dejarlo como una metáfora: el significado legal, a medida que desciende desde la ley y la intención a través del compilador, el código de bytes, el código de operación y la capa de consenso, pierde parte de su contenido semántico original en cada traducción, de modo que lo que queda a disposición de los reguladores humanos para cuando se ejecuta una transacción no es el control sobre las capas inferiores del sistema —que para entonces se han convertido en un lenguaje en gran medida autónomo y autorreferencial—, sino solo una serie de </w:t>
      </w:r>
      <w:r>
        <w:t>puertas</w:t>
      </w:r>
      <w:r>
        <w:rPr>
          <w:rFonts w:ascii="Times New Roman" w:hAnsi="Times New Roman" w:cs="Times New Roman"/>
        </w:rPr>
        <w:t xml:space="preserve">, ubicadas dondequiera que la ecología en capas se cruce con las instituciones legales y políticas humanas, en las que los reguladores pueden decidir, a menudo tardíamente y siempre de manera incompleta, si admiten lo que el sistema ya ha producido. El verdadero conflicto que este artículo ha buscado exponer, entonces, no es el conflicto que habitualmente se escenifica entre el Estado de derecho y el </w:t>
      </w:r>
      <w:r>
        <w:rPr>
          <w:rFonts w:ascii="Times New Roman" w:hAnsi="Times New Roman" w:cs="Times New Roman"/>
        </w:rPr>
        <w:lastRenderedPageBreak/>
      </w:r>
      <w:r>
        <w:rPr>
          <w:rFonts w:ascii="Times New Roman" w:hAnsi="Times New Roman" w:cs="Times New Roman"/>
        </w:rPr>
        <w:t xml:space="preserve">gobierno </w:t>
      </w:r>
      <w:r>
        <w:t>del código (o</w:t>
      </w:r>
      <w:r>
        <w:rPr>
          <w:rFonts w:ascii="Times New Roman" w:hAnsi="Times New Roman" w:cs="Times New Roman"/>
        </w:rPr>
        <w:t xml:space="preserve"> por</w:t>
      </w:r>
      <w:r>
        <w:rPr>
          <w:rFonts w:ascii="Times New Roman" w:hAnsi="Times New Roman" w:cs="Times New Roman"/>
        </w:rPr>
        <w:t xml:space="preserve"> </w:t>
      </w:r>
      <w:r>
        <w:t>código),</w:t>
      </w:r>
      <w:r>
        <w:rPr>
          <w:rFonts w:ascii="Times New Roman" w:hAnsi="Times New Roman" w:cs="Times New Roman"/>
        </w:rPr>
        <w:t xml:space="preserve"> como si se tratara de dos soberanos que se disputan un mismo trono, sino un conflicto entre distintas ecologías regulatorias, cada una de las cuales organiza el significado, la autoridad y ahora, como ha demostrado el análisis de la arquitectura temporal de la cadena de bloques, incluso el tiempo mismo de acuerdo con lógicas internas incompatibles, de modo que la única tarea que le queda al derecho es la relativamente modesta, pero de ninguna manera trivial, de dotar de contenido normativo a las puertas en las que esas ecologías se ven obligadas a encontrarse.</w:t>
      </w:r>
    </w:p>
    <w:p w:rsidR="004817E5" w:rsidRDefault="004817E5" w14:paraId="6A02B1A2" w14:textId="00000001">
      <w:pPr>
        <w:ind w:firstLine="720"/>
        <w:rPr>
          <w:rFonts w:ascii="Times New Roman" w:hAnsi="Times New Roman" w:cs="Times New Roman"/>
        </w:rPr>
      </w:pPr>
      <w:r>
        <w:rPr>
          <w:rFonts w:ascii="Times New Roman" w:hAnsi="Times New Roman" w:cs="Times New Roman"/>
        </w:rPr>
        <w:t xml:space="preserve">Hay otras dos ideas, desarrolladas en detalle más arriba, que agudizan esa afirmación general y no deben quedar relegadas a un segundo plano. La primera es que toda explicación sobre el propósito y la gobernanza adecuada de la cadena de bloques, incluida la explicación de </w:t>
      </w:r>
      <w:r>
        <w:t xml:space="preserve">la </w:t>
      </w:r>
      <w:r>
        <w:rPr>
          <w:rFonts w:ascii="Times New Roman" w:hAnsi="Times New Roman" w:cs="Times New Roman"/>
        </w:rPr>
        <w:t xml:space="preserve">Sacher-Torte que aquí se ofrece, es en sí misma una forma de discurso interesado y oracular: una afirmación, planteada por una parte que tiene algo que ganar, sobre un futuro tecnológico que aún no puede verificarse, calculada para asegurar una distribución particular de la autoridad entre el ser humano y la máquina bajo el pretexto de describir una situación técnica. Ese reconocimiento reflexivo, tomado del debate más amplio entre las narrativas competidoras sobre la gobernanza de la IA analizadas en otros lugares, exige que la tesis de este artículo no se lea como una descripción neutral finalmente capaz de zanjar el debate sobre el </w:t>
      </w:r>
      <w:r>
        <w:t>gobierno</w:t>
      </w:r>
      <w:r>
        <w:rPr>
          <w:rFonts w:ascii="Times New Roman" w:hAnsi="Times New Roman" w:cs="Times New Roman"/>
        </w:rPr>
        <w:t xml:space="preserve"> del </w:t>
      </w:r>
      <w:r>
        <w:t>código</w:t>
      </w:r>
      <w:r>
        <w:rPr>
          <w:rFonts w:ascii="Times New Roman" w:hAnsi="Times New Roman" w:cs="Times New Roman"/>
        </w:rPr>
        <w:t>, sino como un participante más en ese mismo debate, cuya capacidad de persuasión radica precisamente en cuán plausiblemente pide a sus lectores que acepten como suficiente un orden particular de la autoridad entre humanos y máquinas. La segunda idea se refiere al tiempo y, en algunos aspectos, es la más fundamental de las dos, porque muestra que el logro técnico más aclamado de la cadena de bloques —la producción de una sucesión lineal y consensuada de estados validados entre nodos que no comparten un reloj común, un soberano ni un presente físico— no es ni un descubrimiento atemporal sobre la naturaleza de la sucesión ni un logro metafísico que deba celebrarse sin reservas o descartarse como una ilusión, sino más bien una elección, que requiere energía, se vuelve a ganar continuamente y es objeto de disputa política, para imponer una imagen particular e históricamente específica del orden: un modelo de sucesión estrictamente serial, dialéctico y de un bloque a la vez, cuyo poder es inseparable de su estrechez</w:t>
      </w:r>
      <w:r>
        <w:rPr>
          <w:rFonts w:ascii="Times New Roman" w:hAnsi="Times New Roman" w:cs="Times New Roman"/>
        </w:rPr>
        <w:t xml:space="preserve">, y que ha demostrado ser lo suficientemente duradero como para sobrevivir, aparentemente intacto, incluso a su última y más exótica propuesta de revisión: el injerto de representaciones genuinamente no clásicas y entrelazadas cuánticamente en un libro mayor que, a pesar de toda esa innovación, sigue permitiendo que cada nuevo estado se construya únicamente a partir del único estado que lo precede inmediatamente. La cadena de bloques, en otras palabras, no se limita a organizar transacciones; fabrica, a partir de su propia arquitectura, las condiciones mismas de legitimidad, secuencia y verdad histórica que luego presenta a sus participantes como descubiertas en lugar de creadas, y es precisamente esta silenciosa sustitución del orden descubierto por el orden fabricado lo que tanto la </w:t>
      </w:r>
      <w:r>
        <w:t>Sacher-Torte</w:t>
      </w:r>
      <w:r>
        <w:rPr>
          <w:rFonts w:ascii="Times New Roman" w:hAnsi="Times New Roman" w:cs="Times New Roman"/>
        </w:rPr>
        <w:t xml:space="preserve"> como los análisis temporales de este artículo han buscado hacer visible.</w:t>
      </w:r>
    </w:p>
    <w:p w:rsidR="004817E5" w:rsidRDefault="004817E5" w14:paraId="6A03B1A3" w14:textId="00000001">
      <w:pPr>
        <w:ind w:firstLine="720"/>
        <w:rPr>
          <w:rFonts w:ascii="Times New Roman" w:hAnsi="Times New Roman" w:cs="Times New Roman"/>
        </w:rPr>
      </w:pPr>
      <w:r>
        <w:rPr>
          <w:rFonts w:ascii="Times New Roman" w:hAnsi="Times New Roman" w:cs="Times New Roman"/>
        </w:rPr>
        <w:t xml:space="preserve">Nada de esto, si se entiende correctamente, aconseja alejarse de la cadena de bloques, ni tampoco aconseja ese tipo de entusiasmo regulatorio que trataría a la tecnología como un problema que hay que resolver de una vez por todas o como una solución que no requiere más atención humana. El código puede automatizar la aplicación de la ley con una perfección lógica que ningún texto legal puede igualar; sin embargo, sigue siendo constitucionalmente incapaz de captar la intención, el criterio y la capacidad de hacer excepciones que la ley, por imperfecta que sea, aún encarna; la ley, por el contrario, puede albergar valores, equidad y flexibilidad dentro de un único marco institucional, pero se mueve con demasiada lentitud y demasiada timidez para gobernar un sistema cuyo logro definitorio es precisamente la velocidad y la aparente neutralidad de su propia autoejecución. La cadena de bloques se sitúa, de manera incómoda, en la intersección de estas dos competencias inconmensurables, y ya sea que se aborde como tecnología, como ideología o, como ha preferido este artículo, como práctica semiótica, se erige como un experimento en curso sobre cómo una comunidad proyecta valor, orden y ahora incluso tiempo sobre lo que es, después de todo, un artefacto intangible y totalmente construido; su importancia radica no solo en las transacciones que liquida, sino en las arquitecturas alternativas de rendición de cuentas y gobernanza colectiva que hace que sean ahora concebibles, para bien o para mal.</w:t>
      </w:r>
      <w:r>
        <w:rPr>
          <w:rStyle w:val="FootnoteReference"/>
          <w:rFonts w:ascii="Times New Roman" w:hAnsi="Times New Roman" w:cs="Times New Roman"/>
        </w:rPr>
        <w:footnoteReference w:id="169"/>
      </w:r>
      <w:r>
        <w:rPr>
          <w:rFonts w:ascii="Times New Roman" w:hAnsi="Times New Roman" w:cs="Times New Roman"/>
        </w:rPr>
        <w:t xml:space="preserve"> </w:t>
      </w:r>
      <w:r>
        <w:rPr>
          <w:rFonts w:ascii="Times New Roman" w:hAnsi="Times New Roman" w:cs="Times New Roman"/>
        </w:rPr>
        <w:lastRenderedPageBreak/>
      </w:r>
      <w:r>
        <w:rPr>
          <w:rFonts w:ascii="Times New Roman" w:hAnsi="Times New Roman" w:cs="Times New Roman"/>
        </w:rPr>
        <w:t xml:space="preserve"> </w:t>
      </w:r>
      <w:r>
        <w:rPr>
          <w:rFonts w:ascii="Times New Roman" w:hAnsi="Times New Roman" w:cs="Times New Roman"/>
        </w:rPr>
        <w:t xml:space="preserve">Los sistemas </w:t>
      </w:r>
      <w:r>
        <w:rPr>
          <w:rFonts w:ascii="Times New Roman" w:hAnsi="Times New Roman" w:cs="Times New Roman"/>
        </w:rPr>
        <w:t xml:space="preserve">automatizados, </w:t>
      </w:r>
      <w:r>
        <w:rPr>
          <w:rFonts w:ascii="Times New Roman" w:hAnsi="Times New Roman" w:cs="Times New Roman"/>
        </w:rPr>
        <w:t xml:space="preserve">registrados en un libro mayor </w:t>
      </w:r>
      <w:r>
        <w:rPr>
          <w:rFonts w:ascii="Times New Roman" w:hAnsi="Times New Roman" w:cs="Times New Roman"/>
        </w:rPr>
        <w:t xml:space="preserve">y secuenciados de este tipo, enriquecidos por los lenguajes en capas del código y por su interpenetración cada vez más íntima con la toma de decisiones humana, han llegado para quedarse, salvo que ocurra alguna catástrofe que este artículo no prevé, y la tarea regulatoria no es, por lo tanto, resistirse a esa permanencia, sino tomar en serio su valor sin dejar de estar atentos a la lógica semióticamente completa —y, por lo tanto, semióticamente autojustificante— de los espacios virtuales que ha construido.</w:t>
      </w:r>
    </w:p>
    <w:p w:rsidR="004817E5" w:rsidRDefault="004817E5" w14:paraId="6A04B1A4" w14:textId="00000001">
      <w:pPr>
        <w:ind w:firstLine="720"/>
        <w:rPr>
          <w:rFonts w:ascii="Times New Roman" w:hAnsi="Times New Roman" w:cs="Times New Roman"/>
        </w:rPr>
      </w:pPr>
      <w:r>
        <w:rPr>
          <w:rFonts w:ascii="Times New Roman" w:hAnsi="Times New Roman" w:cs="Times New Roman"/>
        </w:rPr>
        <w:t xml:space="preserve">Esa vigilancia es importante porque el riesgo que plantea la cadena de bloques no depende tanto de la herramienta como del impulso tan humano de construir primero un instrumento, luego otorgarle la dignidad de una agencia autónoma y, finalmente, culpar al instrumento por las consecuencias predecibles de decisiones que, por muchas capas de código que intervengan, siguen siendo reconociblemente humanas; un mal trabajador, como dice el proverbio, culpa a sus herramientas,</w:t>
      </w:r>
      <w:r>
        <w:rPr>
          <w:rStyle w:val="FootnoteReference"/>
          <w:rFonts w:ascii="Times New Roman" w:hAnsi="Times New Roman" w:cs="Times New Roman"/>
        </w:rPr>
        <w:footnoteReference w:id="170"/>
      </w:r>
      <w:r>
        <w:rPr>
          <w:rFonts w:ascii="Times New Roman" w:hAnsi="Times New Roman" w:cs="Times New Roman"/>
        </w:rPr>
        <w:t xml:space="preserve"> y la lógica del proverbio perdura incluso cuando las herramientas del trabajador se vuelven autorreferenciales, aseguradas criptográficamente y distribuidas a nivel global, una supervivencia que se debe en gran parte a la semiótica de la internalización y la externalización a través de la cual los agentes humanos proyectan su propia agencia hacia afuera, sobre los instrumentos que construyen, para luego desentenderse de ella.</w:t>
      </w:r>
      <w:r>
        <w:rPr>
          <w:rStyle w:val="FootnoteReference"/>
          <w:rFonts w:ascii="Times New Roman" w:hAnsi="Times New Roman" w:cs="Times New Roman"/>
        </w:rPr>
        <w:footnoteReference w:id="171"/>
      </w:r>
      <w:r>
        <w:rPr>
          <w:rFonts w:ascii="Times New Roman" w:hAnsi="Times New Roman" w:cs="Times New Roman"/>
        </w:rPr>
        <w:t xml:space="preserve"> Esto no es meramente una afirmación sobre la naturaleza de los símbolos y la representación simbólica en abstracto; es una afirmación sobre cómo tales representaciones llegan a cumplir, dentro del contexto institucional y cultural específico que este artículo ha examinado, una función propiamente mitificadora,</w:t>
      </w:r>
      <w:r>
        <w:rPr>
          <w:rStyle w:val="FootnoteReference"/>
          <w:rFonts w:ascii="Times New Roman" w:hAnsi="Times New Roman" w:cs="Times New Roman"/>
        </w:rPr>
        <w:footnoteReference w:id="172"/>
      </w:r>
      <w:r>
        <w:rPr>
          <w:rFonts w:ascii="Times New Roman" w:hAnsi="Times New Roman" w:cs="Times New Roman"/>
        </w:rPr>
        <w:t xml:space="preserve"> convirtiendo un orden de autoridad contingente, logrado políticamente y mantenido continuamente, en algo que se presenta ante sus participantes como natural, inevitable y, por lo tanto, más allá del alcance de la controversia política ordinaria. Aquí, por fin, uno se encuentra con la ironía más profunda que este artículo ha ido trazando desde sus primeras páginas hasta las últimas: que, sea lo que sea lo que la humanidad crea estar codificando cuando construye sistemas a su propia imagen, destinados a representar una versión idealizada de sí misma, incorporará en ese sistema, de una forma u otra, los marcadores inconfundibles de su propio y persistente fracaso para alcanzar ese ideal, porque los humanos siguen siendo capaces —y apenas eso— de regularse a sí mismos, ya sea a través de las instituciones explícitas del derecho o mediante los sistemas codificados y automatizados que tratan la discreción y el juicio como cuestiones indiferentes, precisamente porque los humanos han delegado esos asuntos. Las máquinas ofrecen una coartada poco convincente para los fracasos de larga data de la humanidad en materia de autogobierno colectivo; el impulso de externalizar la culpa hacia los propios instrumentos es un tropo psicológico antiguo,</w:t>
      </w:r>
      <w:r>
        <w:rPr>
          <w:rStyle w:val="FootnoteReference"/>
          <w:rFonts w:ascii="Times New Roman" w:hAnsi="Times New Roman" w:cs="Times New Roman"/>
        </w:rPr>
        <w:footnoteReference w:id="173"/>
      </w:r>
      <w:r>
        <w:rPr>
          <w:rFonts w:ascii="Times New Roman" w:hAnsi="Times New Roman" w:cs="Times New Roman"/>
        </w:rPr>
        <w:t xml:space="preserve"> comúnmente llamado «sesgo egoísta»,</w:t>
      </w:r>
      <w:r>
        <w:rPr>
          <w:rStyle w:val="FootnoteReference"/>
          <w:rFonts w:ascii="Times New Roman" w:hAnsi="Times New Roman" w:cs="Times New Roman"/>
        </w:rPr>
        <w:footnoteReference w:id="174"/>
      </w:r>
      <w:r>
        <w:rPr>
          <w:rFonts w:ascii="Times New Roman" w:hAnsi="Times New Roman" w:cs="Times New Roman"/>
        </w:rPr>
        <w:t xml:space="preserve"> que se basa en la presunción de que es más fácil, y más barato, suprimir o gestionar el instrumento que</w:t>
      </w:r>
      <w:r>
        <w:rPr>
          <w:rFonts w:ascii="Times New Roman" w:hAnsi="Times New Roman" w:cs="Times New Roman"/>
        </w:rPr>
        <w:lastRenderedPageBreak/>
      </w:r>
      <w:r>
        <w:rPr>
          <w:rFonts w:ascii="Times New Roman" w:hAnsi="Times New Roman" w:cs="Times New Roman"/>
        </w:rPr>
        <w:t xml:space="preserve"> disciplinar a su usuario,</w:t>
      </w:r>
      <w:r>
        <w:rPr>
          <w:rStyle w:val="FootnoteReference"/>
          <w:rFonts w:ascii="Times New Roman" w:hAnsi="Times New Roman" w:cs="Times New Roman"/>
        </w:rPr>
        <w:footnoteReference w:id="175"/>
      </w:r>
      <w:r>
        <w:rPr>
          <w:rFonts w:ascii="Times New Roman" w:hAnsi="Times New Roman" w:cs="Times New Roman"/>
        </w:rPr>
        <w:t xml:space="preserve"> incluso cuando, como ocurre cada vez más con los sistemas digitales, el ser humano permanece integrado en el mismo sistema al que se culpa.</w:t>
      </w:r>
      <w:r>
        <w:rPr>
          <w:rStyle w:val="FootnoteReference"/>
          <w:rFonts w:ascii="Times New Roman" w:hAnsi="Times New Roman" w:cs="Times New Roman"/>
        </w:rPr>
        <w:footnoteReference w:id="176"/>
      </w:r>
      <w:r>
        <w:rPr>
          <w:rFonts w:ascii="Times New Roman" w:hAnsi="Times New Roman" w:cs="Times New Roman"/>
        </w:rPr>
        <w:t xml:space="preserve"> Esa explicación, sin embargo, no capta del todo la esencia de la cadena de bloques, pues lo que está en juego no es tanto la culpa como la confianza, y la premisa y práctica específicas de la confianza mediante las cuales la arquitectura de la cadena de bloques está diseñada para generar confianza sin exigir que nadie, incluidos sus propios diseñadores, rinda cuentas por haberla creado.</w:t>
      </w:r>
      <w:r>
        <w:rPr>
          <w:rStyle w:val="FootnoteReference"/>
          <w:rFonts w:ascii="Times New Roman" w:hAnsi="Times New Roman" w:cs="Times New Roman"/>
        </w:rPr>
        <w:footnoteReference w:id="177"/>
      </w:r>
      <w:r>
        <w:rPr>
          <w:rFonts w:ascii="Times New Roman" w:hAnsi="Times New Roman" w:cs="Times New Roman"/>
        </w:rPr>
        <w:t xml:space="preserve"> El peligro de regular la cadena de bloques, en consecuencia, no es que los reguladores no aborden la tecnología, sino que la regulación que favorezcan no aborde este problema en absoluto, sirviendo en cambio para trasladar la culpa y la agencia a un instrumento que, incluso en su forma más aparentemente autónoma y autorreferencial, sigue ejecutando únicamente los términos que las decisiones humanas —tomadas en cada capa de la </w:t>
      </w:r>
      <w:r>
        <w:t>Sacher-Torte—</w:t>
      </w:r>
      <w:r>
        <w:rPr>
          <w:rFonts w:ascii="Times New Roman" w:hAnsi="Times New Roman" w:cs="Times New Roman"/>
        </w:rPr>
        <w:t xml:space="preserve"> continúan estableciendo.</w:t>
      </w:r>
    </w:p>
    <w:p w:rsidR="004817E5" w:rsidRDefault="004817E5" w14:paraId="6A05B1A5" w14:textId="00000001">
      <w:pPr>
        <w:ind w:firstLine="720"/>
        <w:rPr>
          <w:rFonts w:ascii="Times New Roman" w:hAnsi="Times New Roman" w:cs="Times New Roman"/>
        </w:rPr>
      </w:pPr>
      <w:r>
        <w:rPr>
          <w:rFonts w:ascii="Times New Roman" w:hAnsi="Times New Roman" w:cs="Times New Roman"/>
        </w:rPr>
        <w:t xml:space="preserve">La cadena de bloques, entendida de esta manera, no es tanto el fin de una era como el inicio de otro capítulo en el largo y inconcluso esfuerzo de la humanidad por gobernar, racionalizar y dar un significado coherente a su propia vida colectiva, un capítulo que será escrito, tal como lo ha sido este, por narradores interesados, cada uno de los cuales reivindica de manera competitiva la autoridad que confiere el gobierno exitoso de la tecnología. La prueba de cualquier análisis sobre la importancia regulatoria de la cadena de bloques, incluido el que se presenta en estas páginas, no es, por lo tanto, si gana la discusión que plantea, sino, más exactamente, qué orden de autoridad entre humanos y máquinas pide discretamente a sus lectores que acepten como suficiente; y si este artículo ha logrado algo, es hacer de esa pregunta, más que de cualquier respuesta prematura a ella, el punto de partida adecuado para lo que sea que venga después.</w:t>
      </w:r>
    </w:p>
    <w:p w:rsidRPr="002162E0" w:rsidR="00D33081" w:rsidP="00FF1F0B" w:rsidRDefault="00D33081" w14:paraId="1BEED53C" w14:textId="3E466EC8">
      <w:pPr>
        <w:rPr>
          <w:rFonts w:ascii="Times New Roman" w:hAnsi="Times New Roman" w:cs="Times New Roman"/>
        </w:rPr>
      </w:pPr>
    </w:p>
    <w:p w:rsidRPr="002162E0" w:rsidR="00D33081" w:rsidP="00FF1F0B" w:rsidRDefault="00D33081" w14:paraId="7F8678BF" w14:textId="77777777">
      <w:pPr>
        <w:rPr>
          <w:rFonts w:ascii="Times New Roman" w:hAnsi="Times New Roman" w:cs="Times New Roman"/>
        </w:rPr>
      </w:pPr>
    </w:p>
    <w:sectPr w:rsidRPr="002162E0" w:rsidR="00D33081" w:rsidSect="00E539E6">
      <w:headerReference w:type="even" r:id="rId8"/>
      <w:headerReference w:type="default" r:id="rId9"/>
      <w:pgSz w:w="12240" w:h="15840"/>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F279FA" w:rsidP="00843294" w:rsidRDefault="00F279FA" w14:paraId="3BF0DD73" w14:textId="77777777">
      <w:r>
        <w:separator/>
      </w:r>
    </w:p>
  </w:endnote>
  <w:endnote w:type="continuationSeparator" w:id="0">
    <w:p w:rsidR="00F279FA" w:rsidP="00843294" w:rsidRDefault="00F279FA" w14:paraId="2FDEA2F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Bodoni 72">
    <w:panose1 w:val="00000400000000000000"/>
    <w:charset w:val="00"/>
    <w:family w:val="auto"/>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Times New Roman (Body CS)">
    <w:altName w:val="Times New Roman"/>
    <w:panose1 w:val="020B0604020202020204"/>
    <w:charset w:val="00"/>
    <w:family w:val="roman"/>
    <w:pitch w:val="variable"/>
    <w:sig w:usb0="E0002AFF" w:usb1="C0007841"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F279FA" w:rsidP="00843294" w:rsidRDefault="00F279FA" w14:paraId="415CA592" w14:textId="77777777">
      <w:r>
        <w:separator/>
      </w:r>
    </w:p>
  </w:footnote>
  <w:footnote w:type="continuationSeparator" w:id="0">
    <w:p w:rsidR="00F279FA" w:rsidP="00843294" w:rsidRDefault="00F279FA" w14:paraId="70DFA971" w14:textId="77777777">
      <w:r>
        <w:continuationSeparator/>
      </w:r>
    </w:p>
  </w:footnote>
  <w:footnote w:id="1">
    <w:p w:rsidRPr="00EF62D0" w:rsidR="006B1D16" w:rsidP="00AC026B" w:rsidRDefault="006B1D16" w14:paraId="28B24BED" w14:textId="135298BA">
      <w:pPr>
        <w:pStyle w:val="FootnoteText"/>
        <w:rPr>
          <w:rFonts w:ascii="Times New Roman" w:hAnsi="Times New Roman" w:cs="Times New Roman"/>
        </w:rPr>
      </w:pPr>
      <w:r w:rsidRPr="00EF62D0">
        <w:rPr>
          <w:rStyle w:val="FootnoteReference"/>
          <w:rFonts w:ascii="Times New Roman" w:hAnsi="Times New Roman" w:cs="Times New Roman"/>
        </w:rPr>
        <w:footnoteRef/>
      </w:r>
      <w:r w:rsidRPr="00EF62D0">
        <w:rPr>
          <w:rFonts w:ascii="Times New Roman" w:hAnsi="Times New Roman" w:cs="Times New Roman"/>
        </w:rPr>
        <w:t xml:space="preserve"> </w:t>
      </w:r>
      <w:r>
        <w:t>Titular de la cátedra</w:t>
      </w:r>
      <w:r>
        <w:rPr>
          <w:rFonts w:ascii="Times New Roman" w:hAnsi="Times New Roman" w:cs="Times New Roman"/>
        </w:rPr>
        <w:t xml:space="preserve"> W. Richard </w:t>
      </w:r>
      <w:r>
        <w:t>and</w:t>
      </w:r>
      <w:r>
        <w:rPr>
          <w:rFonts w:ascii="Times New Roman" w:hAnsi="Times New Roman" w:cs="Times New Roman"/>
        </w:rPr>
        <w:t xml:space="preserve"> Mary Eshelman</w:t>
      </w:r>
      <w:r>
        <w:t xml:space="preserve"> Faculty Scholar</w:t>
      </w:r>
      <w:r>
        <w:rPr>
          <w:rFonts w:ascii="Times New Roman" w:hAnsi="Times New Roman" w:cs="Times New Roman"/>
        </w:rPr>
        <w:t xml:space="preserve">; profesor de Derecho y Asuntos Internacionales, Universidad Estatal de Pensilvania | </w:t>
      </w:r>
      <w:r>
        <w:t>239</w:t>
      </w:r>
      <w:r>
        <w:rPr>
          <w:rFonts w:ascii="Times New Roman" w:hAnsi="Times New Roman" w:cs="Times New Roman"/>
        </w:rPr>
        <w:t xml:space="preserve"> Lewis Katz</w:t>
      </w:r>
      <w:r>
        <w:rPr>
          <w:rFonts w:ascii="Times New Roman" w:hAnsi="Times New Roman" w:cs="Times New Roman"/>
        </w:rPr>
        <w:t xml:space="preserve"> </w:t>
      </w:r>
      <w:r>
        <w:t>Building</w:t>
      </w:r>
      <w:r>
        <w:rPr>
          <w:rFonts w:ascii="Times New Roman" w:hAnsi="Times New Roman" w:cs="Times New Roman"/>
        </w:rPr>
        <w:t>, University Park, PA</w:t>
      </w:r>
      <w:r w:rsidRPr="00EF62D0" w:rsidR="006553F8">
        <w:rPr>
          <w:rFonts w:ascii="Times New Roman" w:hAnsi="Times New Roman" w:cs="Times New Roman"/>
        </w:rPr>
        <w:t xml:space="preserve"> 16802.</w:t>
      </w:r>
      <w:r w:rsidRPr="00EF62D0" w:rsidR="00AC026B">
        <w:rPr>
          <w:rFonts w:ascii="Times New Roman" w:hAnsi="Times New Roman" w:cs="Times New Roman"/>
        </w:rPr>
        <w:t xml:space="preserve"> </w:t>
      </w:r>
      <w:r>
        <w:rPr>
          <w:rFonts w:ascii="Times New Roman" w:hAnsi="Times New Roman" w:cs="Times New Roman"/>
        </w:rPr>
        <w:t xml:space="preserve">Mi agradecimiento a Primavera De Filippi y </w:t>
      </w:r>
      <w:r>
        <w:t>a los demás</w:t>
      </w:r>
      <w:r>
        <w:rPr>
          <w:rFonts w:ascii="Times New Roman" w:hAnsi="Times New Roman" w:cs="Times New Roman"/>
        </w:rPr>
        <w:t xml:space="preserve"> participantes y organizadores del Simposio Internacional</w:t>
      </w:r>
      <w:r>
        <w:rPr>
          <w:rFonts w:ascii="Times New Roman" w:hAnsi="Times New Roman" w:cs="Times New Roman"/>
        </w:rPr>
        <w:t xml:space="preserve"> «Blockchain Gov: </w:t>
      </w:r>
      <w:r>
        <w:t>Present and Future of Block Chain Governance»</w:t>
      </w:r>
      <w:r>
        <w:rPr>
          <w:rFonts w:ascii="Times New Roman" w:hAnsi="Times New Roman" w:cs="Times New Roman"/>
        </w:rPr>
        <w:t xml:space="preserve">, celebrado el 25 de septiembre de 2025 </w:t>
      </w:r>
      <w:r w:rsidR="009261E6">
        <w:rPr>
          <w:rFonts w:ascii="Times New Roman" w:hAnsi="Times New Roman" w:cs="Times New Roman"/>
        </w:rPr>
        <w:t xml:space="preserve">en</w:t>
      </w:r>
      <w:r>
        <w:rPr>
          <w:rFonts w:ascii="Times New Roman" w:hAnsi="Times New Roman" w:cs="Times New Roman"/>
        </w:rPr>
        <w:t xml:space="preserve"> el </w:t>
      </w:r>
      <w:r>
        <w:t>Panthéon-Assas, Université Paris</w:t>
      </w:r>
      <w:r>
        <w:rPr>
          <w:rFonts w:ascii="Times New Roman" w:hAnsi="Times New Roman" w:cs="Times New Roman"/>
        </w:rPr>
        <w:t xml:space="preserve"> II, en el que se presentó una versión anterior de este artículo, así como por </w:t>
      </w:r>
      <w:r w:rsidRPr="00EF62D0" w:rsidR="00AC026B">
        <w:rPr>
          <w:rFonts w:ascii="Times New Roman" w:hAnsi="Times New Roman" w:cs="Times New Roman"/>
        </w:rPr>
        <w:t xml:space="preserve">los comentarios y perspectivas estimulantes de </w:t>
      </w:r>
      <w:r>
        <w:rPr>
          <w:rFonts w:ascii="Times New Roman" w:hAnsi="Times New Roman" w:cs="Times New Roman"/>
        </w:rPr>
        <w:t>Arianna Backer (Symetra).</w:t>
      </w:r>
    </w:p>
  </w:footnote>
  <w:footnote w:id="2">
    <w:p w:rsidRPr="00257379" w:rsidR="009261E6" w:rsidRDefault="009261E6" w14:paraId="54F95C72" w14:textId="103BB42B">
      <w:pPr>
        <w:pStyle w:val="FootnoteText"/>
      </w:pPr>
      <w:r>
        <w:rPr>
          <w:rStyle w:val="FootnoteReference"/>
        </w:rPr>
        <w:footnoteRef/>
      </w:r>
      <w:r>
        <w:t xml:space="preserve"> Universidad Estatal de Pensilvania (</w:t>
      </w:r>
      <w:r w:rsidR="00C15F35">
        <w:t xml:space="preserve">Licenciatura en Ingeniería Informática, Licenciatura en Alemán, </w:t>
      </w:r>
      <w:r>
        <w:t xml:space="preserve">Maestría en Asuntos Internacionales prevista para 2027 (Escuela de </w:t>
      </w:r>
      <w:r>
        <w:t xml:space="preserve">Asuntos </w:t>
      </w:r>
      <w:r w:rsidR="00257379">
        <w:t xml:space="preserve">Internacionales</w:t>
      </w:r>
      <w:r>
        <w:t xml:space="preserve">)</w:t>
      </w:r>
      <w:r w:rsidR="005C04C7">
        <w:t xml:space="preserve">)</w:t>
      </w:r>
      <w:r>
        <w:t xml:space="preserve">.</w:t>
      </w:r>
    </w:p>
  </w:footnote>
  <w:footnote w:id="3">
    <w:p w:rsidRPr="000F2AC5" w:rsidR="000F2AC5" w:rsidRDefault="000F2AC5" w14:paraId="5E7982EE" w14:textId="7B738C5C">
      <w:pPr>
        <w:pStyle w:val="FootnoteText"/>
      </w:pPr>
      <w:r>
        <w:rPr>
          <w:rStyle w:val="FootnoteReference"/>
        </w:rPr>
        <w:footnoteRef/>
      </w:r>
      <w:r>
        <w:t xml:space="preserve"> </w:t>
      </w:r>
      <w:r w:rsidRPr="004E3A22">
        <w:rPr>
          <w:smallCaps/>
        </w:rPr>
        <w:t xml:space="preserve">Primavera De Filippi y Aaron Wright, Blockchain and the Law: The Rule of Code </w:t>
      </w:r>
      <w:r>
        <w:t xml:space="preserve">(Harvard University </w:t>
      </w:r>
      <w:r>
        <w:t xml:space="preserve">Press, 2018).</w:t>
      </w:r>
      <w:r>
        <w:rPr>
          <w:rFonts w:ascii="Times New Roman" w:hAnsi="Times New Roman" w:cs="Times New Roman"/>
        </w:rPr>
        <w:t xml:space="preserve"> Hay que remontarse un cuarto de siglo para </w:t>
      </w:r>
      <w:r>
        <w:t>hallar la génesis</w:t>
      </w:r>
      <w:r>
        <w:rPr>
          <w:rFonts w:ascii="Times New Roman" w:hAnsi="Times New Roman" w:cs="Times New Roman"/>
        </w:rPr>
        <w:t xml:space="preserve"> del término en el contexto de la teoría de sistemas y la gobernanza. «Cada época tiene su regulador potencial, su amenaza a la libertad</w:t>
      </w:r>
      <w:r>
        <w:t>. [...]</w:t>
      </w:r>
      <w:r>
        <w:rPr>
          <w:rFonts w:ascii="Times New Roman" w:hAnsi="Times New Roman" w:cs="Times New Roman"/>
        </w:rPr>
        <w:t xml:space="preserve"> La nuestra es la era del ciberespacio. </w:t>
      </w:r>
      <w:r>
        <w:t>También este</w:t>
      </w:r>
      <w:r>
        <w:rPr>
          <w:rFonts w:ascii="Times New Roman" w:hAnsi="Times New Roman" w:cs="Times New Roman"/>
        </w:rPr>
        <w:t xml:space="preserve"> tiene un regulador. Este regulador, también, amenaza la libertad</w:t>
      </w:r>
      <w:r>
        <w:t>. [...]</w:t>
      </w:r>
      <w:r>
        <w:rPr>
          <w:rFonts w:ascii="Times New Roman" w:hAnsi="Times New Roman" w:cs="Times New Roman"/>
        </w:rPr>
        <w:t xml:space="preserve"> Este regulador es el código: el software y el hardware que </w:t>
      </w:r>
      <w:r>
        <w:t>hacen del</w:t>
      </w:r>
      <w:r>
        <w:rPr>
          <w:rFonts w:ascii="Times New Roman" w:hAnsi="Times New Roman" w:cs="Times New Roman"/>
        </w:rPr>
        <w:t xml:space="preserve"> ciberespacio </w:t>
      </w:r>
      <w:r>
        <w:t>lo que</w:t>
      </w:r>
      <w:r>
        <w:rPr>
          <w:rFonts w:ascii="Times New Roman" w:hAnsi="Times New Roman" w:cs="Times New Roman"/>
        </w:rPr>
        <w:t xml:space="preserve"> es. </w:t>
      </w:r>
      <w:r>
        <w:t>Ese</w:t>
      </w:r>
      <w:r>
        <w:rPr>
          <w:rFonts w:ascii="Times New Roman" w:hAnsi="Times New Roman" w:cs="Times New Roman"/>
        </w:rPr>
        <w:t xml:space="preserve"> código, o arquitectura, </w:t>
      </w:r>
      <w:r>
        <w:t>fija los términos</w:t>
      </w:r>
      <w:r>
        <w:rPr>
          <w:rFonts w:ascii="Times New Roman" w:hAnsi="Times New Roman" w:cs="Times New Roman"/>
        </w:rPr>
        <w:t xml:space="preserve"> en </w:t>
      </w:r>
      <w:r>
        <w:rPr>
          <w:rFonts w:ascii="Times New Roman" w:hAnsi="Times New Roman" w:cs="Times New Roman"/>
        </w:rPr>
        <w:t xml:space="preserve">que se </w:t>
      </w:r>
      <w:r>
        <w:t>vive la experiencia de</w:t>
      </w:r>
      <w:r>
        <w:rPr>
          <w:rFonts w:ascii="Times New Roman" w:hAnsi="Times New Roman" w:cs="Times New Roman"/>
        </w:rPr>
        <w:t xml:space="preserve"> la vida en el ciberespacio». Lawrence Lessig sobre la creciente regulación del ciberespacio, Harvard Magazine (enero de 2000); disponible en [https://www.harvardmagazine.com/2000/01/code-is-law-html], donde se </w:t>
      </w:r>
      <w:r>
        <w:t>comenta</w:t>
      </w:r>
      <w:r>
        <w:rPr>
          <w:rFonts w:ascii="Times New Roman" w:hAnsi="Times New Roman" w:cs="Times New Roman"/>
        </w:rPr>
        <w:t xml:space="preserve"> </w:t>
      </w:r>
      <w:r>
        <w:rPr>
          <w:rFonts w:ascii="Times New Roman" w:hAnsi="Times New Roman" w:cs="Times New Roman"/>
          <w:smallCaps/>
        </w:rPr>
        <w:t xml:space="preserve">Lawrence </w:t>
      </w:r>
      <w:r>
        <w:t>Lessing</w:t>
      </w:r>
      <w:r>
        <w:rPr>
          <w:rFonts w:ascii="Times New Roman" w:hAnsi="Times New Roman" w:cs="Times New Roman"/>
        </w:rPr>
        <w:t xml:space="preserve">, </w:t>
      </w:r>
      <w:r>
        <w:t>Code</w:t>
      </w:r>
      <w:r>
        <w:rPr>
          <w:rFonts w:ascii="Times New Roman" w:hAnsi="Times New Roman" w:cs="Times New Roman"/>
        </w:rPr>
        <w:t xml:space="preserve">, </w:t>
      </w:r>
      <w:r>
        <w:rPr>
          <w:rFonts w:ascii="Times New Roman" w:hAnsi="Times New Roman" w:cs="Times New Roman"/>
          <w:smallCaps/>
        </w:rPr>
        <w:t xml:space="preserve">and </w:t>
      </w:r>
      <w:r>
        <w:rPr>
          <w:rFonts w:ascii="Times New Roman" w:hAnsi="Times New Roman" w:cs="Times New Roman"/>
          <w:smallCaps/>
        </w:rPr>
        <w:t xml:space="preserve">Other </w:t>
      </w:r>
      <w:r>
        <w:rPr>
          <w:rFonts w:ascii="Times New Roman" w:hAnsi="Times New Roman" w:cs="Times New Roman"/>
          <w:smallCaps/>
        </w:rPr>
        <w:t xml:space="preserve">Laws of </w:t>
      </w:r>
      <w:r>
        <w:t>Cyberspace</w:t>
      </w:r>
      <w:r>
        <w:rPr>
          <w:rFonts w:ascii="Times New Roman" w:hAnsi="Times New Roman" w:cs="Times New Roman"/>
          <w:smallCaps/>
        </w:rPr>
        <w:t xml:space="preserve"> </w:t>
      </w:r>
      <w:r>
        <w:rPr>
          <w:rFonts w:ascii="Times New Roman" w:hAnsi="Times New Roman" w:cs="Times New Roman"/>
          <w:i/>
          <w:iCs/>
        </w:rPr>
        <w:t xml:space="preserve">(</w:t>
      </w:r>
      <w:r>
        <w:rPr>
          <w:rFonts w:ascii="Times New Roman" w:hAnsi="Times New Roman" w:cs="Times New Roman"/>
        </w:rPr>
        <w:t xml:space="preserve">Basic Books, 1999</w:t>
      </w:r>
      <w:r>
        <w:t>). Y, sin</w:t>
      </w:r>
      <w:r>
        <w:rPr>
          <w:rFonts w:ascii="Times New Roman" w:hAnsi="Times New Roman" w:cs="Times New Roman"/>
        </w:rPr>
        <w:t xml:space="preserve"> embargo,</w:t>
      </w:r>
      <w:r>
        <w:t xml:space="preserve"> aquello</w:t>
      </w:r>
      <w:r>
        <w:rPr>
          <w:rFonts w:ascii="Times New Roman" w:hAnsi="Times New Roman" w:cs="Times New Roman"/>
        </w:rPr>
        <w:t xml:space="preserve"> de lo que </w:t>
      </w:r>
      <w:r>
        <w:t xml:space="preserve">aquí </w:t>
      </w:r>
      <w:r>
        <w:rPr>
          <w:rFonts w:ascii="Times New Roman" w:hAnsi="Times New Roman" w:cs="Times New Roman"/>
        </w:rPr>
        <w:t xml:space="preserve">se </w:t>
      </w:r>
      <w:r>
        <w:t>trata</w:t>
      </w:r>
      <w:r>
        <w:rPr>
          <w:rFonts w:ascii="Times New Roman" w:hAnsi="Times New Roman" w:cs="Times New Roman"/>
        </w:rPr>
        <w:t xml:space="preserve"> no es </w:t>
      </w:r>
      <w:r>
        <w:t>el</w:t>
      </w:r>
      <w:r>
        <w:rPr>
          <w:rFonts w:ascii="Times New Roman" w:hAnsi="Times New Roman" w:cs="Times New Roman"/>
        </w:rPr>
        <w:t xml:space="preserve"> código como una </w:t>
      </w:r>
      <w:r>
        <w:t>suerte</w:t>
      </w:r>
      <w:r>
        <w:rPr>
          <w:rFonts w:ascii="Times New Roman" w:hAnsi="Times New Roman" w:cs="Times New Roman"/>
        </w:rPr>
        <w:t xml:space="preserve"> de equivalente de la ley, sino </w:t>
      </w:r>
      <w:r>
        <w:t>los</w:t>
      </w:r>
      <w:r>
        <w:rPr>
          <w:rFonts w:ascii="Times New Roman" w:hAnsi="Times New Roman" w:cs="Times New Roman"/>
        </w:rPr>
        <w:t xml:space="preserve"> sistemas </w:t>
      </w:r>
      <w:r>
        <w:t>fundados</w:t>
      </w:r>
      <w:r>
        <w:rPr>
          <w:rFonts w:ascii="Times New Roman" w:hAnsi="Times New Roman" w:cs="Times New Roman"/>
        </w:rPr>
        <w:t xml:space="preserve"> en el lenguaje del código y en arquitecturas codificadas, </w:t>
      </w:r>
      <w:r>
        <w:t>del mismo modo en</w:t>
      </w:r>
      <w:r>
        <w:rPr>
          <w:rFonts w:ascii="Times New Roman" w:hAnsi="Times New Roman" w:cs="Times New Roman"/>
        </w:rPr>
        <w:t xml:space="preserve"> que los sistemas tradicionales se </w:t>
      </w:r>
      <w:r>
        <w:t>fundaron</w:t>
      </w:r>
      <w:r>
        <w:rPr>
          <w:rFonts w:ascii="Times New Roman" w:hAnsi="Times New Roman" w:cs="Times New Roman"/>
        </w:rPr>
        <w:t xml:space="preserve"> en el lenguaje y la sensibilidad </w:t>
      </w:r>
      <w:r>
        <w:t>del derecho</w:t>
      </w:r>
      <w:r>
        <w:rPr>
          <w:rFonts w:ascii="Times New Roman" w:hAnsi="Times New Roman" w:cs="Times New Roman"/>
        </w:rPr>
        <w:t xml:space="preserve"> y </w:t>
      </w:r>
      <w:r>
        <w:t xml:space="preserve">de </w:t>
      </w:r>
      <w:r>
        <w:rPr>
          <w:rFonts w:ascii="Times New Roman" w:hAnsi="Times New Roman" w:cs="Times New Roman"/>
        </w:rPr>
        <w:t xml:space="preserve">las arquitecturas </w:t>
      </w:r>
      <w:r>
        <w:t>jurídicas</w:t>
      </w:r>
      <w:r>
        <w:rPr>
          <w:rFonts w:ascii="Times New Roman" w:hAnsi="Times New Roman" w:cs="Times New Roman"/>
        </w:rPr>
        <w:t>.</w:t>
      </w:r>
    </w:p>
  </w:footnote>
  <w:footnote w:id="4">
    <w:p w:rsidRPr="000F2AC5" w:rsidR="000F2AC5" w:rsidRDefault="000F2AC5" w14:paraId="064A69EF" w14:textId="5D7B8ABE">
      <w:pPr>
        <w:pStyle w:val="FootnoteText"/>
      </w:pPr>
      <w:r>
        <w:rPr>
          <w:rStyle w:val="FootnoteReference"/>
        </w:rPr>
        <w:footnoteRef/>
      </w:r>
      <w:r>
        <w:t xml:space="preserve"> </w:t>
      </w:r>
      <w:r w:rsidR="00C14B60">
        <w:t xml:space="preserve">Véase Jeremy Waldron, «The Rule of Law and Procedural Fairness», </w:t>
      </w:r>
      <w:r w:rsidR="006553F8">
        <w:t xml:space="preserve">en Stanford </w:t>
      </w:r>
      <w:r w:rsidR="00C14B60">
        <w:t xml:space="preserve">Encyclopedia of Philosophy (22 de junio de 2016); disponible en [</w:t>
      </w:r>
      <w:r w:rsidRPr="00C14B60" w:rsidR="00C14B60">
        <w:t xml:space="preserve">https://plato.stanford.edu/entries/rule-of-law/</w:t>
      </w:r>
      <w:r w:rsidR="00C14B60">
        <w:t xml:space="preserve">].</w:t>
      </w:r>
    </w:p>
  </w:footnote>
  <w:footnote w:id="5">
    <w:p w:rsidR="000267A2" w:rsidRDefault="000267A2" w14:paraId="2B63FCB3" w14:textId="2F1C76E9">
      <w:pPr>
        <w:pStyle w:val="FootnoteText"/>
      </w:pPr>
      <w:r>
        <w:rPr>
          <w:rStyle w:val="FootnoteReference"/>
        </w:rPr>
        <w:footnoteRef/>
      </w:r>
      <w:r>
        <w:fldChar w:fldCharType="begin"/>
      </w:r>
      <w:r w:rsidR="00C04038">
        <w:instrText xml:space="preserve"> ADDIN ZOTERO_ITEM CSL_CITATION {"citationID":"z7SFD41u","properties":{"formattedCitation":"{\\i{}See} Satoshi Nakamoto, Bitcoin: A Peer-to-Peer Electronic Cash System (Aug. 21, 2008), https://papers.ssrn.com/abstract=3440802 (defining \\uc0\\u8220{}blockchain\\uc0\\u8221{}).","plainCitation":"See Satoshi Nakamoto, Bitcoin: A Peer-to-Peer Electronic Cash System (Aug. 21, 2008), https://papers.ssrn.com/abstract=3440802 (defining “blockchain”).","noteIndex":3},"citationItems":[{"id":55,"uris":["http://zotero.org/users/20142566/items/DVYFEBKG"],"itemData":{"id":55,"type":"article","abstract":"A purely peer-to-peer version of electronic cash would allow online payments to be sent directly from one party to another without the burdens of going through a financial institution. Digital signatures provide part of the solution, but the main benefits are lost if a trusted third party is still required to prevent double-spending. We propose a solution to the double-spending problem using a peer-to-peer network. The network timestamps transactions by hashing them into an ongoing chain of hash-based proof-of-work, forming a record that cannot be changed without redoing the proof-of-work. The longest chain not only serves as proof of the sequence of events witnessed, but proof that it came from the largest pool of CPU power. As long as honest nodes control the most CPU power on the network, they can generate the longest chain and outpace any attackers. The network itself requires minimal structure. Messages are broadcast on a best effort basis, and nodes can leave and rejoin the network at will, accepting the longest proof-of-work chain as proof of what happened while they were gone.","DOI":"10.2139/ssrn.3440802","genre":"SSRN Scholarly Paper","language":"en","number":"3440802","publisher":"Social Science Research Network","publisher-place":"Rochester, NY","source":"papers.ssrn.com","title":"Bitcoin: A Peer-to-Peer Electronic Cash System","title-short":"Bitcoin","URL":"https://papers.ssrn.com/abstract=3440802","author":[{"family":"Nakamoto","given":"Satoshi"}],"accessed":{"date-parts":[["2026",4,6]]},"issued":{"date-parts":[["2008",8,21]]}},"prefix":"&lt;i&gt;See&lt;/i&gt;","suffix":"(defining \"blockchain\")"}],"schema":"https://github.com/citation-style-language/schema/raw/master/csl-citation.json"} </w:instrText>
      </w:r>
      <w:r>
        <w:fldChar w:fldCharType="separate"/>
      </w:r>
      <w:r w:rsidRPr="00903D5C" w:rsidR="00903D5C">
        <w:rPr>
          <w:rFonts w:cs="Times New Roman"/>
          <w:i/>
          <w:iCs/>
          <w:kern w:val="0"/>
          <w:lang w:bidi="yi-Hebr"/>
        </w:rPr>
        <w:t xml:space="preserve"> Véase </w:t>
      </w:r>
      <w:r w:rsidRPr="00903D5C" w:rsidR="00903D5C">
        <w:rPr>
          <w:rFonts w:cs="Times New Roman"/>
          <w:kern w:val="0"/>
          <w:lang w:bidi="yi-Hebr"/>
        </w:rPr>
        <w:t xml:space="preserve">Satoshi Nakamoto, «Bitcoin: A Peer-to-Peer Electronic Cash System» (21 de agosto de 2008), https://papers.ssrn.com/abstract=3440802 (donde se define «cadena de bloques»).</w:t>
      </w:r>
      <w:r>
        <w:fldChar w:fldCharType="end"/>
      </w:r>
    </w:p>
  </w:footnote>
  <w:footnote w:id="6">
    <w:p w:rsidRPr="000B53EF" w:rsidR="000B53EF" w:rsidRDefault="000B53EF" w14:paraId="26C2EFBA" w14:textId="4B683598">
      <w:pPr>
        <w:pStyle w:val="FootnoteText"/>
      </w:pPr>
      <w:r>
        <w:rPr>
          <w:rStyle w:val="FootnoteReference"/>
        </w:rPr>
        <w:footnoteRef/>
      </w:r>
      <w:r>
        <w:t xml:space="preserve"> Oxford </w:t>
      </w:r>
      <w:r>
        <w:t>English Dictionary</w:t>
      </w:r>
      <w:r>
        <w:t xml:space="preserve">, «absurd», etimología, disponible en [</w:t>
      </w:r>
      <w:r w:rsidRPr="000B53EF">
        <w:t xml:space="preserve">https://www.oed.com/dictionary/absurd_adj?tl=true&amp;tab=etymology</w:t>
      </w:r>
      <w:r>
        <w:t xml:space="preserve">]. Existe una semiótica del absurdo que también desempeñará un papel en este artículo. Véase, por ejemplo, George V. Zito, </w:t>
      </w:r>
      <w:r>
        <w:t>Toward</w:t>
      </w:r>
      <w:r>
        <w:t xml:space="preserve"> a Sociology of </w:t>
      </w:r>
      <w:r>
        <w:t>Heresy</w:t>
      </w:r>
      <w:r>
        <w:t>, 44 Sociology of Religion</w:t>
      </w:r>
      <w:r>
        <w:t xml:space="preserve"> 123-130 (1983); Paolo Heritier, </w:t>
      </w:r>
      <w:r>
        <w:t>Understanding</w:t>
      </w:r>
      <w:r>
        <w:rPr>
          <w:i/>
          <w:iCs/>
        </w:rPr>
        <w:t xml:space="preserve"> Legal </w:t>
      </w:r>
      <w:r>
        <w:t>Semiotics</w:t>
      </w:r>
      <w:r>
        <w:t xml:space="preserve">, en </w:t>
      </w:r>
      <w:r w:rsidRPr="004E3A22" w:rsidR="007851B4">
        <w:rPr>
          <w:smallCaps/>
        </w:rPr>
        <w:t xml:space="preserve">Research Handbook on Legal Semiotics </w:t>
      </w:r>
      <w:r w:rsidR="007851B4">
        <w:t xml:space="preserve">(Anne Wagner y Sarah Marusek, eds., E Elgar, 2023).</w:t>
      </w:r>
    </w:p>
  </w:footnote>
  <w:footnote w:id="7">
    <w:p w:rsidRPr="004521E6" w:rsidR="004521E6" w:rsidRDefault="004521E6" w14:paraId="39CA3719" w14:textId="2C1DBE70">
      <w:pPr>
        <w:pStyle w:val="FootnoteText"/>
      </w:pPr>
      <w:r>
        <w:rPr>
          <w:rStyle w:val="FootnoteReference"/>
        </w:rPr>
        <w:footnoteRef/>
      </w:r>
      <w:r>
        <w:t xml:space="preserve"> Véase, por ejemplo, Raymond Furness, «Nietzsche’s Views of the English and his Concept of a European Community»,</w:t>
      </w:r>
      <w:r w:rsidR="000F2AC5">
        <w:t xml:space="preserve"> 17(4) German Life and Letters, 319-325 (1964); Jonny Anomaly, «Nietzsche’s Critique of Utilitarianism», 29 J. </w:t>
      </w:r>
      <w:r w:rsidR="00C14B60">
        <w:t xml:space="preserve">Nietzsche </w:t>
      </w:r>
      <w:r w:rsidR="000F2AC5">
        <w:t xml:space="preserve">Studies, 1-15 (2005).</w:t>
      </w:r>
    </w:p>
  </w:footnote>
  <w:footnote w:id="8">
    <w:p w:rsidRPr="00483994" w:rsidR="00483994" w:rsidRDefault="00483994" w14:paraId="24F7AC3D" w14:textId="20DC558D">
      <w:pPr>
        <w:pStyle w:val="FootnoteText"/>
      </w:pPr>
      <w:r>
        <w:rPr>
          <w:rStyle w:val="FootnoteReference"/>
        </w:rPr>
        <w:footnoteRef/>
      </w:r>
      <w:r>
        <w:t xml:space="preserve"> Cf., </w:t>
      </w:r>
      <w:r w:rsidR="000B53EF">
        <w:t xml:space="preserve">Moez </w:t>
      </w:r>
      <w:r>
        <w:t xml:space="preserve">Krichen, Meryem Ammi, Alaeddine Mihoub y Mutiq Almutiq</w:t>
      </w:r>
      <w:r w:rsidR="000B53EF">
        <w:t xml:space="preserve">, </w:t>
      </w:r>
      <w:r>
        <w:t xml:space="preserve">«Blockchain for Modern Applications: A Survey</w:t>
      </w:r>
      <w:r w:rsidR="000B53EF">
        <w:t xml:space="preserve">», 22(14</w:t>
      </w:r>
      <w:r w:rsidR="00DD59B7">
        <w:t xml:space="preserve">) SENSORS</w:t>
      </w:r>
      <w:r>
        <w:t xml:space="preserve"> 5274 </w:t>
      </w:r>
      <w:r w:rsidR="000B53EF">
        <w:t xml:space="preserve">(2022); disponible en [</w:t>
      </w:r>
      <w:r>
        <w:t xml:space="preserve">https://doi.org/10.3390/s22145274</w:t>
      </w:r>
      <w:r w:rsidR="000B53EF">
        <w:t xml:space="preserve">].</w:t>
      </w:r>
    </w:p>
  </w:footnote>
  <w:footnote w:id="9">
    <w:p w:rsidRPr="000F2AC5" w:rsidR="000F2AC5" w:rsidRDefault="000F2AC5" w14:paraId="2AB4F748" w14:textId="5DFCBC46">
      <w:pPr>
        <w:pStyle w:val="FootnoteText"/>
      </w:pPr>
      <w:r>
        <w:rPr>
          <w:rStyle w:val="FootnoteReference"/>
        </w:rPr>
        <w:footnoteRef/>
      </w:r>
      <w:r>
        <w:t xml:space="preserve"> </w:t>
      </w:r>
      <w:r>
        <w:t xml:space="preserve">Timothy C. May, </w:t>
      </w:r>
      <w:r>
        <w:t>The Crypto-Anarchist Manifesto</w:t>
      </w:r>
      <w:r>
        <w:t xml:space="preserve"> (1988); disponible en [</w:t>
      </w:r>
      <w:r w:rsidRPr="00C14B60" w:rsidR="00C14B60">
        <w:t xml:space="preserve">https://groups.csail.mit.edu/mac/classes/6.805/articles/crypto/cypherpunks/may-crypto-manifesto.html</w:t>
      </w:r>
      <w:r w:rsidR="00C14B60">
        <w:t xml:space="preserve">]. Véase, en general, el </w:t>
      </w:r>
      <w:r w:rsidR="00C14B60">
        <w:t xml:space="preserve">Cyphernomicon </w:t>
      </w:r>
      <w:r w:rsidR="00C14B60">
        <w:t xml:space="preserve">(ver. 0.666, 1994); disponible en [</w:t>
      </w:r>
      <w:r w:rsidRPr="00C14B60" w:rsidR="00C14B60">
        <w:t xml:space="preserve">https://cdn.nakamotoinstitute.org/docs/cyphernomicon.txt</w:t>
      </w:r>
      <w:r w:rsidR="00C14B60">
        <w:t xml:space="preserve">].</w:t>
      </w:r>
    </w:p>
  </w:footnote>
  <w:footnote w:id="10">
    <w:p w:rsidRPr="00257379" w:rsidR="00257379" w:rsidRDefault="00257379" w14:paraId="1D2DEB22" w14:textId="3FCACD3A">
      <w:pPr>
        <w:pStyle w:val="FootnoteText"/>
      </w:pPr>
      <w:r>
        <w:rPr>
          <w:rStyle w:val="FootnoteReference"/>
        </w:rPr>
        <w:footnoteRef/>
      </w:r>
      <w:r>
        <w:t xml:space="preserve"> </w:t>
      </w:r>
      <w:r>
        <w:t>Cf</w:t>
      </w:r>
      <w:r>
        <w:t>.</w:t>
      </w:r>
      <w:r>
        <w:t xml:space="preserve"> Peter Wagner, </w:t>
      </w:r>
      <w:r>
        <w:t>Modernity</w:t>
      </w:r>
      <w:r>
        <w:t xml:space="preserve">: </w:t>
      </w:r>
      <w:r>
        <w:t>Understanding the Present</w:t>
      </w:r>
      <w:r>
        <w:t xml:space="preserve"> (Polity Press, 2012) (</w:t>
      </w:r>
      <w:r w:rsidR="006E6DC9">
        <w:t xml:space="preserve">orígenes </w:t>
      </w:r>
      <w:r>
        <w:t xml:space="preserve">y fundamentos de la modernidad como expresión del proyecto </w:t>
      </w:r>
      <w:r>
        <w:t>ilustrado</w:t>
      </w:r>
      <w:r>
        <w:t xml:space="preserve">, </w:t>
      </w:r>
      <w:r>
        <w:t xml:space="preserve">manifiesta </w:t>
      </w:r>
      <w:r>
        <w:t>en</w:t>
      </w:r>
      <w:r>
        <w:t xml:space="preserve"> la combinación de estructuras de autonomía humana y </w:t>
      </w:r>
      <w:r>
        <w:t xml:space="preserve">de </w:t>
      </w:r>
      <w:r>
        <w:t xml:space="preserve">progreso tecnológico </w:t>
      </w:r>
      <w:r>
        <w:t>fundado</w:t>
      </w:r>
      <w:r>
        <w:t xml:space="preserve"> en la producción como función del </w:t>
      </w:r>
      <w:r w:rsidR="00DD59B7">
        <w:t xml:space="preserve">bienestar, ibíd.</w:t>
      </w:r>
      <w:r w:rsidR="00A84246">
        <w:t xml:space="preserve">, </w:t>
      </w:r>
      <w:r w:rsidR="00A84246">
        <w:t xml:space="preserve">cap</w:t>
      </w:r>
      <w:r w:rsidR="00A84246">
        <w:t xml:space="preserve">. 1).</w:t>
      </w:r>
    </w:p>
  </w:footnote>
  <w:footnote w:id="11">
    <w:p w:rsidRPr="00303F19" w:rsidR="00303F19" w:rsidRDefault="00303F19" w14:paraId="6251B923" w14:textId="622FFD17">
      <w:pPr>
        <w:pStyle w:val="FootnoteText"/>
      </w:pPr>
      <w:r>
        <w:rPr>
          <w:rStyle w:val="FootnoteReference"/>
        </w:rPr>
        <w:footnoteRef/>
      </w:r>
      <w:r>
        <w:t xml:space="preserve"> </w:t>
      </w:r>
      <w:r w:rsidRPr="004E3A22" w:rsidR="00DD59B7">
        <w:t xml:space="preserve">En general, </w:t>
      </w:r>
      <w:r w:rsidRPr="004E3A22">
        <w:t xml:space="preserve">Pierangelo Blandino, </w:t>
      </w:r>
      <w:r>
        <w:t>Semiotokens</w:t>
      </w:r>
      <w:r>
        <w:t xml:space="preserve">, </w:t>
      </w:r>
      <w:r>
        <w:t>Algorithms, and Blockchain Networks</w:t>
      </w:r>
      <w:r>
        <w:t xml:space="preserve">: </w:t>
      </w:r>
      <w:r>
        <w:t>New Possible Patterns in Legal Thought</w:t>
      </w:r>
      <w:r>
        <w:t>, 38 International Journal for the Semiotics of Law</w:t>
      </w:r>
      <w:r>
        <w:t xml:space="preserve"> 327-362 (2025); ensayos en </w:t>
      </w:r>
      <w:r>
        <w:t xml:space="preserve">Martin Shapiro (ed.), </w:t>
      </w:r>
      <w:r w:rsidRPr="004E3A22">
        <w:rPr>
          <w:smallCaps/>
        </w:rPr>
        <w:t xml:space="preserve">Crypto </w:t>
      </w:r>
      <w:r w:rsidRPr="004E3A22">
        <w:rPr>
          <w:smallCaps/>
        </w:rPr>
        <w:t xml:space="preserve">Crowds </w:t>
      </w:r>
      <w:r>
        <w:t xml:space="preserve">(</w:t>
      </w:r>
      <w:r>
        <w:t xml:space="preserve">Berghahn </w:t>
      </w:r>
      <w:r>
        <w:t xml:space="preserve">Books, 2024).</w:t>
      </w:r>
    </w:p>
  </w:footnote>
  <w:footnote w:id="12">
    <w:p w:rsidRPr="00257379" w:rsidR="00257379" w:rsidP="00257379" w:rsidRDefault="00257379" w14:paraId="3A37886A" w14:textId="03CE6C41">
      <w:pPr>
        <w:pStyle w:val="FootnoteText"/>
      </w:pPr>
      <w:r>
        <w:rPr>
          <w:rStyle w:val="FootnoteReference"/>
        </w:rPr>
        <w:footnoteRef/>
      </w:r>
      <w:r>
        <w:t xml:space="preserve"> Jean Baudrillard, </w:t>
      </w:r>
      <w:r>
        <w:t>Modernity</w:t>
      </w:r>
      <w:r>
        <w:t xml:space="preserve">, 11(3) </w:t>
      </w:r>
      <w:r w:rsidRPr="00196B96">
        <w:rPr>
          <w:smallCaps/>
        </w:rPr>
        <w:t xml:space="preserve">Canadian Journal of Political &amp; Social Theory / Revue canadienne de </w:t>
      </w:r>
      <w:r w:rsidRPr="00196B96">
        <w:rPr>
          <w:smallCaps/>
        </w:rPr>
        <w:t xml:space="preserve">théorie </w:t>
      </w:r>
      <w:r w:rsidRPr="00196B96">
        <w:rPr>
          <w:smallCaps/>
        </w:rPr>
        <w:t xml:space="preserve">politique et </w:t>
      </w:r>
      <w:r w:rsidRPr="00196B96">
        <w:rPr>
          <w:smallCaps/>
        </w:rPr>
        <w:t xml:space="preserve">sociale</w:t>
      </w:r>
      <w:r>
        <w:t xml:space="preserve"> 63-72, 72 (1987) («La prodigiosa expansión </w:t>
      </w:r>
      <w:r>
        <w:t>[...]</w:t>
      </w:r>
      <w:r>
        <w:t xml:space="preserve"> de la ciencia y </w:t>
      </w:r>
      <w:r>
        <w:t xml:space="preserve">de </w:t>
      </w:r>
      <w:r>
        <w:t xml:space="preserve">la técnica, el desarrollo racional y sistemático de los medios de producción, su gestión y organización, </w:t>
      </w:r>
      <w:r>
        <w:t>marcan</w:t>
      </w:r>
      <w:r>
        <w:t xml:space="preserve"> la modernidad como la era de </w:t>
      </w:r>
      <w:r>
        <w:t xml:space="preserve">la productividad». Ibíd., p. 66).</w:t>
      </w:r>
    </w:p>
  </w:footnote>
  <w:footnote w:id="13">
    <w:p w:rsidRPr="00EF62D0" w:rsidR="00D05DD1" w:rsidRDefault="00D05DD1" w14:paraId="61E72CA6" w14:textId="660D3F15">
      <w:pPr>
        <w:pStyle w:val="FootnoteText"/>
        <w:rPr>
          <w:rFonts w:ascii="Times New Roman" w:hAnsi="Times New Roman" w:cs="Times New Roman"/>
        </w:rPr>
      </w:pPr>
      <w:r w:rsidRPr="00EF62D0">
        <w:rPr>
          <w:rStyle w:val="FootnoteReference"/>
          <w:rFonts w:ascii="Times New Roman" w:hAnsi="Times New Roman" w:cs="Times New Roman"/>
        </w:rPr>
        <w:footnoteRef/>
      </w:r>
      <w:r w:rsidRPr="00EF62D0">
        <w:rPr>
          <w:rFonts w:ascii="Times New Roman" w:hAnsi="Times New Roman" w:cs="Times New Roman"/>
        </w:rPr>
        <w:t xml:space="preserve"> Aquí el término se utiliza en su sentido semiótico de privilegiar una comprensión</w:t>
      </w:r>
      <w:r w:rsidRPr="00EF62D0" w:rsidR="004777E6">
        <w:rPr>
          <w:rFonts w:ascii="Times New Roman" w:hAnsi="Times New Roman" w:cs="Times New Roman"/>
        </w:rPr>
        <w:t xml:space="preserve">, un valor, un carácter, etc., </w:t>
      </w:r>
      <w:r w:rsidRPr="00EF62D0">
        <w:rPr>
          <w:rFonts w:ascii="Times New Roman" w:hAnsi="Times New Roman" w:cs="Times New Roman"/>
        </w:rPr>
        <w:t xml:space="preserve">específicos </w:t>
      </w:r>
      <w:r w:rsidRPr="00EF62D0">
        <w:rPr>
          <w:rFonts w:ascii="Times New Roman" w:hAnsi="Times New Roman" w:cs="Times New Roman"/>
        </w:rPr>
        <w:t xml:space="preserve">que se insertan en el objeto observado o constituido; en este caso, fragmentos específicos de datos designados para representar algo que tiene </w:t>
      </w:r>
      <w:r w:rsidRPr="00EF62D0" w:rsidR="00DD59B7">
        <w:rPr>
          <w:rFonts w:ascii="Times New Roman" w:hAnsi="Times New Roman" w:cs="Times New Roman"/>
        </w:rPr>
        <w:t xml:space="preserve">valor, </w:t>
      </w:r>
      <w:r w:rsidRPr="00EF62D0">
        <w:rPr>
          <w:rFonts w:ascii="Times New Roman" w:hAnsi="Times New Roman" w:cs="Times New Roman"/>
        </w:rPr>
        <w:t xml:space="preserve">cuyo valor se medirá en su uso (también construido). </w:t>
      </w:r>
    </w:p>
  </w:footnote>
  <w:footnote w:id="14">
    <w:p w:rsidR="00C1288C" w:rsidRDefault="00C1288C" w14:paraId="561F4D3E" w14:textId="69183AD7">
      <w:pPr>
        <w:pStyle w:val="FootnoteText"/>
      </w:pPr>
      <w:r>
        <w:rPr>
          <w:rStyle w:val="FootnoteReference"/>
        </w:rPr>
        <w:footnoteRef/>
      </w:r>
      <w:r>
        <w:fldChar w:fldCharType="begin"/>
      </w:r>
      <w:r w:rsidR="00C04038">
        <w:instrText xml:space="preserve"> ADDIN ZOTERO_ITEM CSL_CITATION {"citationID":"jNGJc27g","properties":{"formattedCitation":"Antero Karvonen et al., {\\i{}Fundamental Concepts of Cognitive Mimetics}, 82 {\\scaps Cogn. Syst. Res.} 101166 (2023); See generally {\\scaps Jan M. Broekman}, {\\scaps Signs In Law - A Source Book: The Semiotics of Law in Legal Education III} (Larry Cat\\uc0\\u225{} Backer ed., 2015).","plainCitation":"Antero Karvonen et al., Fundamental Concepts of Cognitive Mimetics, 82 Cogn. Syst. Res. 101166 (2023); See generally Jan M. Broekman, Signs In Law - A Source Book: The Semiotics of Law in Legal Education III (Larry Catá Backer ed., 2015).","noteIndex":5},"citationItems":[{"id":134,"uris":["http://zotero.org/users/20142566/items/CWW8ZQPJ"],"itemData":{"id":134,"type":"article-journal","abstract":"The rapid development and widespread adoption of Artificial Intelligence (AI) technologies have made the development of AI-specific design methods an important topic to advance. In recent decades, the centre of gravity in AI has shifted away from cognitive science and related fields like psychology. However, there is a clear need and potential for added value in returning to stronger interaction. One potential challenge for this interaction may be the lack of common conceptual grounds and design languages.","container-title":"Cognitive Systems Research","DOI":"10.1016/j.cogsys.2023.101166","ISSN":"13890417","journalAbbreviation":"Cognitive Systems Research","language":"en","page":"101166","source":"DOI.org (Crossref)","title":"Fundamental concepts of cognitive mimetics","volume":"82","author":[{"family":"Karvonen","given":"Antero"},{"family":"Kujala","given":"Tuomo"},{"family":"Kärkkäinen","given":"Tommi"},{"family":"Saariluoma","given":"Pertti"}],"issued":{"date-parts":[["2023",12]]}}},{"id":133,"uris":["http://zotero.org/users/20142566/items/URJG9KPL"],"itemData":{"id":133,"type":"book","abstract":"This volume provides a critical roadmap through the major historical sources of legal semiotics as we know them today. The history of legal semiotics, now at least a century old, has never been written (a non-event itself pregnant with semiotic possibility). As a consequence, its sources are seldom clearly exposed and, as word, object and meaning change, are sometimes lost. They reach from an English translation of the 1916 inaugural lecture of the first Chair in Legal Significs at the Amsterdam University, via mid 20th century studies on “property” or “contract,” to equally fascinating essays on contemporary semiotic problems produced by former students of the Roberta Kevelson Semiotics Roundtable Seminar at Penn State University 2012 and 2013. Together, the materials in this book weave the fabric of semiotics and significs, two names for the unfolding of semiotics in law and legal discourse at least until the second half of the 20th century, and both of which covered a lawyer’s focus on sign and meaning in law. The latter is embedded within the cultural imperatives of the civilization that gave these terms meaning and made them an effective tool for the dissection of law, its reconstitution as an instrument to be used by the lawyer to advance the interests of her clients, and for judges as a means to restructure language as a narrative of law whose power could bend behavior to its strictures. Legal semiotics has become an indispensible part of the elite lawyer’s toolkit and a fundamental approach to analysis of legal texts. Two previous volumes published in 2011 and 2012 explored the conceptual, methodological and epistemological progress in the field of legal semiotics, the modern forms of semiotics study, and the mechanics of meaning making processes by lawyers. Yet the great lessons of semiotics requires a focus on the origins of the concepts and frameworks that would become contemporary legal semiotics, its origins as an object of the consciousness of meaning making-one whose roots, as lessons for the oracular conversations of law, are expanded in this volume","collection-title":"SpringerLink Bücher","DOI":"10.1007/978-3-319-09837-1","ISBN":"978-3-319-09836-4","language":"eng","number-of-pages":"431","publisher":"Springer","publisher-place":"Cham","source":"K10plus ISBN","title":"Signs In Law - A Source Book: The Semiotics of Law in Legal Education III","title-short":"Signs In Law - A Source Book","author":[{"family":"Broekman","given":"Jan M."}],"editor":[{"family":"Backer","given":"Larry Catá"}],"issued":{"date-parts":[["2015"]]}},"prefix":"See generally"}],"schema":"https://github.com/citation-style-language/schema/raw/master/csl-citation.json"} </w:instrText>
      </w:r>
      <w:r>
        <w:fldChar w:fldCharType="separate"/>
      </w:r>
      <w:r w:rsidRPr="00C1288C">
        <w:rPr>
          <w:rFonts w:cs="Times New Roman"/>
          <w:kern w:val="0"/>
          <w:lang w:bidi="yi-Hebr"/>
        </w:rPr>
        <w:t xml:space="preserve"> Antero Karvonen et al., </w:t>
      </w:r>
      <w:r>
        <w:t>Fundamental</w:t>
      </w:r>
      <w:r>
        <w:rPr>
          <w:rFonts w:cs="Times New Roman"/>
          <w:i/>
          <w:iCs/>
          <w:kern w:val="0"/>
          <w:lang w:bidi="yi-Hebr"/>
        </w:rPr>
        <w:t xml:space="preserve"> Concepts of Cognitive </w:t>
      </w:r>
      <w:r>
        <w:t>Mimetics</w:t>
      </w:r>
      <w:r>
        <w:rPr>
          <w:rFonts w:cs="Times New Roman"/>
          <w:kern w:val="0"/>
          <w:lang w:bidi="yi-Hebr"/>
        </w:rPr>
        <w:t>, 82</w:t>
      </w:r>
      <w:r>
        <w:t xml:space="preserve"> </w:t>
      </w:r>
      <w:r>
        <w:rPr>
          <w:rFonts w:cs="Times New Roman"/>
          <w:smallCaps/>
          <w:kern w:val="0"/>
          <w:lang w:bidi="yi-Hebr"/>
        </w:rPr>
        <w:t>Cogn</w:t>
      </w:r>
      <w:r w:rsidRPr="00C1288C">
        <w:rPr>
          <w:rFonts w:cs="Times New Roman"/>
          <w:smallCaps/>
          <w:kern w:val="0"/>
          <w:lang w:bidi="yi-Hebr"/>
        </w:rPr>
        <w:t xml:space="preserve">. Syst. Res.</w:t>
      </w:r>
      <w:r w:rsidRPr="00C1288C">
        <w:rPr>
          <w:rFonts w:cs="Times New Roman"/>
          <w:kern w:val="0"/>
          <w:lang w:bidi="yi-Hebr"/>
        </w:rPr>
        <w:t xml:space="preserve"> 101166 (2023); véase, en general, </w:t>
      </w:r>
      <w:r w:rsidRPr="00C1288C">
        <w:rPr>
          <w:rFonts w:cs="Times New Roman"/>
          <w:smallCaps/>
          <w:kern w:val="0"/>
          <w:lang w:bidi="yi-Hebr"/>
        </w:rPr>
        <w:t xml:space="preserve">Jan M. Broekman</w:t>
      </w:r>
      <w:r>
        <w:rPr>
          <w:rFonts w:cs="Times New Roman"/>
          <w:smallCaps/>
          <w:kern w:val="0"/>
          <w:lang w:bidi="yi-Hebr"/>
        </w:rPr>
        <w:t xml:space="preserve">, </w:t>
      </w:r>
      <w:r>
        <w:t>Signs in Law—A Source Book: The Semiotics of Law in Legal Education III</w:t>
      </w:r>
      <w:r>
        <w:rPr>
          <w:rFonts w:cs="Times New Roman"/>
          <w:kern w:val="0"/>
          <w:lang w:bidi="yi-Hebr"/>
        </w:rPr>
        <w:t xml:space="preserve"> </w:t>
      </w:r>
      <w:r w:rsidRPr="00C1288C">
        <w:rPr>
          <w:rFonts w:cs="Times New Roman"/>
          <w:kern w:val="0"/>
          <w:lang w:bidi="yi-Hebr"/>
        </w:rPr>
        <w:t xml:space="preserve">(Larry Catá Backer, ed., 2015).</w:t>
      </w:r>
      <w:r>
        <w:fldChar w:fldCharType="end"/>
      </w:r>
    </w:p>
  </w:footnote>
  <w:footnote w:id="15">
    <w:p w:rsidR="00A251CC" w:rsidRDefault="00A251CC" w14:paraId="4821DD7D" w14:textId="1AE257AA">
      <w:pPr>
        <w:pStyle w:val="FootnoteText"/>
      </w:pPr>
      <w:r>
        <w:rPr>
          <w:rStyle w:val="FootnoteReference"/>
        </w:rPr>
        <w:footnoteRef/>
      </w:r>
      <w:r>
        <w:fldChar w:fldCharType="begin"/>
      </w:r>
      <w:r w:rsidR="00C04038">
        <w:instrText xml:space="preserve"> ADDIN ZOTERO_ITEM CSL_CITATION {"citationID":"Rtmx9qbP","properties":{"formattedCitation":"G. C. M. Teubner, {\\i{}Autopoiesis and Steering: How Politics Profit from the Normative Surplus of Capital}, {\\i{}in} {\\scaps Autopoiesis and Configuration Theory: New Approaches to Societal Steering} 127 (Roeland J. In \\uc0\\u8217{}T Veld et al. eds., 1991), http://link.springer.com/10.1007/978-94-011-3522-1_11; {\\scaps Niklas Luhmann}, {\\scaps Essays on Self-Reference} (1990); Larry Cat\\uc0\\u225{} Backer, {\\i{}Private Actors and Public Governance Beyond the State: The Multinational Corporation, the Financial Stability Board, and the Global Governance Order}, 18 {\\scaps Indiana J. Glob. Leg. Stud.} 751 (2011).","plainCitation":"G. C. M. Teubner, Autopoiesis and Steering: How Politics Profit from the Normative Surplus of Capital, in Autopoiesis and Configuration Theory: New Approaches to Societal Steering 127 (Roeland J. In ’T Veld et al. eds., 1991), http://link.springer.com/10.1007/978-94-011-3522-1_11; Niklas Luhmann, Essays on Self-Reference (1990); Larry Catá Backer, Private Actors and Public Governance Beyond the State: The Multinational Corporation, the Financial Stability Board, and the Global Governance Order, 18 Indiana J. Glob. Leg. Stud. 751 (2011).","noteIndex":7},"citationItems":[{"id":132,"uris":["http://zotero.org/users/20142566/items/P95BQMAE"],"itemData":{"id":132,"type":"chapter","container-title":"Autopoiesis and Configuration Theory: New Approaches to Societal Steering","DOI":"10.1007/978-94-011-3522-1_11","ISBN":"978-94-010-5558-1","language":"en","page":"127-141","publisher":"Springer Netherlands","publisher-place":"Dordrecht","source":"DOI.org (Crossref)","title":"Autopoiesis and Steering: How Politics Profit from the Normative Surplus of Capital","title-short":"Autopoiesis and Steering","URL":"http://link.springer.com/10.1007/978-94-011-3522-1_11","editor":[{"family":"In ’T Veld","given":"Roeland J."},{"family":"Schaap","given":"Linze"},{"family":"Termeer","given":"Catrien J. A. M."},{"family":"Van Twist","given":"Mark J. W."}],"author":[{"family":"Teubner","given":"G. C. M."}],"accessed":{"date-parts":[["2026",4,13]]},"issued":{"date-parts":[["1991"]]}}},{"id":131,"uris":["http://zotero.org/users/20142566/items/VMVG9BY7"],"itemData":{"id":131,"type":"book","ISBN":"978-0-231-06368-5","language":"en","note":"Google-Books-ID: YGnZexW1xP0C","number-of-pages":"262","publisher":"Columbia University Press","source":"Google Books","title":"Essays on Self-reference","author":[{"family":"Luhmann","given":"Niklas"}],"issued":{"date-parts":[["1990"]]}}},{"id":130,"uris":["http://zotero.org/users/20142566/items/MGVKTGBS"],"itemData":{"id":130,"type":"article-journal","abstract":"Abstract Transnational corporations are at the center of extraordinary and complex governance systems that are developing outside the state and international public organizations and beyond the conventionally legitimating framework of the forms of domestic or international hard law. Though these systems are sometimes recognized as autonomous and authoritative among its members, they are neither isolated from each other nor from the states with which they come into contact. Together these systems may begin to suggest a new template for networked governance beyond the state, but one in which public and private actors are integrated stakeholders. This provides the source of the questions explored in this article: Is it possible to detect this new template for transnational governance of economic activity (in general) and corporations (in particular) developing through principles of transnational private governance? Is public governance in the twentyfirst century taking on the characteristics of transnational corporate governance? The questions suggest three objectives. The first is to examine the organization of communities of states through the normative lens of private transnational governance. A secondary objective is to suggest the importance of communication—structural coupling—between developing private governance systems and emerging transnational public governance systems. That communication suggests the development of the institutional intermeshing of both autonomous systems of governing communities of private actors and communities of states. The third objective is to consider whether emerging governance frameworks, public and private, might be arranged together in a way that credibly suggests a system of coordinated metagovernance. After an introduction, Section I of this article examines the governance constitutions of multinational economic actors. Section II then turns to a consideration of corporate constitutionalism within a metagovernance framework. The focus is the governance framework of the G-20's Financial Stability Board (FSB). The G-20-FSB framework points to the future of governance systems in which the state participates in a collaborative governance structure, but in which states share rulemaking power with public and private nonstate actors. The FSB template points to the organization of governance as a collegial enterprise in which states and traditional law-based systems interact with nonstate actors and their norm-based systems to develop integrated governance with global reach. Thus reconstituted, a new set of arrangements might well arise, one in which amalgamations of the most powerful states and private regulatory bodies assert authority once reserved to states alone.","container-title":"Indiana Journal of Global Legal Studies","DOI":"10.2979/indjglolegstu.18.2.751","ISSN":"1080-0727","issue":"2","page":"751-802","publisher":"Indiana University Press","source":"JSTOR","title":"Private Actors and Public Governance Beyond the State: The Multinational Corporation, the Financial Stability Board, and the Global Governance Order","title-short":"Private Actors and Public Governance Beyond the State","volume":"18","author":[{"family":"Backer","given":"Larry Catá"}],"issued":{"date-parts":[["2011"]]}}}],"schema":"https://github.com/citation-style-language/schema/raw/master/csl-citation.json"} </w:instrText>
      </w:r>
      <w:r>
        <w:fldChar w:fldCharType="separate"/>
      </w:r>
      <w:r w:rsidRPr="0004154E" w:rsidR="0004154E">
        <w:rPr>
          <w:rFonts w:cs="Times New Roman"/>
          <w:kern w:val="0"/>
          <w:lang w:bidi="yi-Hebr"/>
        </w:rPr>
        <w:t xml:space="preserve"> G. C. M. Teubner, </w:t>
      </w:r>
      <w:r>
        <w:t>Autopoiesis and Steering</w:t>
      </w:r>
      <w:r>
        <w:rPr>
          <w:rFonts w:cs="Times New Roman"/>
          <w:i/>
          <w:iCs/>
          <w:kern w:val="0"/>
          <w:lang w:bidi="yi-Hebr"/>
        </w:rPr>
        <w:t xml:space="preserve">: </w:t>
      </w:r>
      <w:r>
        <w:t>How Politics Profit from the Normative Surplus of Capital</w:t>
      </w:r>
      <w:r w:rsidRPr="0004154E" w:rsidR="0004154E">
        <w:rPr>
          <w:rFonts w:cs="Times New Roman"/>
          <w:kern w:val="0"/>
          <w:lang w:bidi="yi-Hebr"/>
        </w:rPr>
        <w:t xml:space="preserve">, </w:t>
      </w:r>
      <w:r>
        <w:t>en Autopoiesis and Configuration Theory</w:t>
      </w:r>
      <w:r>
        <w:rPr>
          <w:rFonts w:cs="Times New Roman"/>
          <w:smallCaps/>
          <w:kern w:val="0"/>
          <w:lang w:bidi="yi-Hebr"/>
        </w:rPr>
        <w:t xml:space="preserve">: </w:t>
      </w:r>
      <w:r>
        <w:t>New Approaches to Societal Steering</w:t>
      </w:r>
      <w:r>
        <w:rPr>
          <w:rFonts w:cs="Times New Roman"/>
          <w:kern w:val="0"/>
          <w:lang w:bidi="yi-Hebr"/>
        </w:rPr>
        <w:t xml:space="preserve"> 127 (Roeland J. In </w:t>
      </w:r>
      <w:r>
        <w:t>‘t</w:t>
      </w:r>
      <w:r>
        <w:rPr>
          <w:rFonts w:cs="Times New Roman"/>
          <w:kern w:val="0"/>
          <w:lang w:bidi="yi-Hebr"/>
        </w:rPr>
        <w:t xml:space="preserve"> Veld et al., eds., 1991), http://link.springer.com/10.1007/978-94-011-3522-1_11; </w:t>
      </w:r>
      <w:r w:rsidRPr="0004154E" w:rsidR="0004154E">
        <w:rPr>
          <w:rFonts w:cs="Times New Roman"/>
          <w:smallCaps/>
          <w:kern w:val="0"/>
          <w:lang w:bidi="yi-Hebr"/>
        </w:rPr>
        <w:t xml:space="preserve">Niklas Luhmann</w:t>
      </w:r>
      <w:r>
        <w:rPr>
          <w:rFonts w:cs="Times New Roman"/>
          <w:smallCaps/>
          <w:kern w:val="0"/>
          <w:lang w:bidi="yi-Hebr"/>
        </w:rPr>
        <w:t xml:space="preserve">, </w:t>
      </w:r>
      <w:r>
        <w:t>Essays on Self-Reference</w:t>
      </w:r>
      <w:r>
        <w:rPr>
          <w:rFonts w:cs="Times New Roman"/>
          <w:kern w:val="0"/>
          <w:lang w:bidi="yi-Hebr"/>
        </w:rPr>
        <w:t xml:space="preserve"> </w:t>
      </w:r>
      <w:r w:rsidRPr="0004154E" w:rsidR="0004154E">
        <w:rPr>
          <w:rFonts w:cs="Times New Roman"/>
          <w:kern w:val="0"/>
          <w:lang w:bidi="yi-Hebr"/>
        </w:rPr>
        <w:t xml:space="preserve">(1990); Larry Catá Backer, </w:t>
      </w:r>
      <w:r>
        <w:t>Private Actors and Public Governance Beyond the State</w:t>
      </w:r>
      <w:r>
        <w:rPr>
          <w:rFonts w:cs="Times New Roman"/>
          <w:i/>
          <w:iCs/>
          <w:kern w:val="0"/>
          <w:lang w:bidi="yi-Hebr"/>
        </w:rPr>
        <w:t xml:space="preserve">: </w:t>
      </w:r>
      <w:r>
        <w:t>The Multinational Corporation, the Financial Stability Board</w:t>
      </w:r>
      <w:r>
        <w:rPr>
          <w:rFonts w:cs="Times New Roman"/>
          <w:i/>
          <w:iCs/>
          <w:kern w:val="0"/>
          <w:lang w:bidi="yi-Hebr"/>
        </w:rPr>
        <w:t xml:space="preserve">, </w:t>
      </w:r>
      <w:r>
        <w:t>and the Global Governance Order, 18 Indiana J. Glob. Leg. Stud.</w:t>
      </w:r>
      <w:r>
        <w:rPr>
          <w:rFonts w:cs="Times New Roman"/>
          <w:kern w:val="0"/>
          <w:lang w:bidi="yi-Hebr"/>
        </w:rPr>
        <w:t xml:space="preserve"> </w:t>
      </w:r>
      <w:r>
        <w:rPr>
          <w:rFonts w:cs="Times New Roman"/>
          <w:kern w:val="0"/>
          <w:lang w:bidi="yi-Hebr"/>
        </w:rPr>
        <w:t>751 (2011).</w:t>
      </w:r>
      <w:r>
        <w:fldChar w:fldCharType="end"/>
      </w:r>
    </w:p>
  </w:footnote>
  <w:footnote w:id="16">
    <w:p w:rsidRPr="00B45AE0" w:rsidR="00B45AE0" w:rsidP="00B45AE0" w:rsidRDefault="00B45AE0" w14:paraId="66A79AE9" w14:textId="57F29F6A">
      <w:pPr>
        <w:pStyle w:val="FootnoteText"/>
      </w:pPr>
      <w:r>
        <w:rPr>
          <w:rStyle w:val="FootnoteReference"/>
        </w:rPr>
        <w:footnoteRef/>
      </w:r>
      <w:r>
        <w:t xml:space="preserve"> </w:t>
      </w:r>
      <w:r>
        <w:t>Cf.</w:t>
      </w:r>
      <w:r>
        <w:rPr>
          <w:rFonts w:ascii="Times New Roman" w:hAnsi="Times New Roman" w:cs="Times New Roman"/>
        </w:rPr>
        <w:t xml:space="preserve"> Aleida Assmann, </w:t>
      </w:r>
      <w:r>
        <w:t>Memory</w:t>
      </w:r>
      <w:r>
        <w:rPr>
          <w:rFonts w:ascii="Times New Roman" w:hAnsi="Times New Roman" w:cs="Times New Roman"/>
        </w:rPr>
        <w:t xml:space="preserve">, </w:t>
      </w:r>
      <w:r>
        <w:t>Individual and Collective</w:t>
      </w:r>
      <w:r>
        <w:rPr>
          <w:rFonts w:ascii="Times New Roman" w:hAnsi="Times New Roman" w:cs="Times New Roman"/>
        </w:rPr>
        <w:t xml:space="preserve">, en </w:t>
      </w:r>
      <w:r>
        <w:rPr>
          <w:rFonts w:ascii="Times New Roman" w:hAnsi="Times New Roman" w:cs="Times New Roman"/>
          <w:smallCaps/>
        </w:rPr>
        <w:t xml:space="preserve">The </w:t>
      </w:r>
      <w:r>
        <w:rPr>
          <w:rFonts w:ascii="Times New Roman" w:hAnsi="Times New Roman" w:cs="Times New Roman"/>
          <w:smallCaps/>
        </w:rPr>
        <w:t xml:space="preserve">Oxford </w:t>
      </w:r>
      <w:r>
        <w:rPr>
          <w:rFonts w:ascii="Times New Roman" w:hAnsi="Times New Roman" w:cs="Times New Roman"/>
          <w:smallCaps/>
        </w:rPr>
        <w:t xml:space="preserve">Handbook of </w:t>
      </w:r>
      <w:r>
        <w:rPr>
          <w:rFonts w:ascii="Times New Roman" w:hAnsi="Times New Roman" w:cs="Times New Roman"/>
          <w:smallCaps/>
        </w:rPr>
        <w:t xml:space="preserve">Contextual </w:t>
      </w:r>
      <w:r>
        <w:rPr>
          <w:rFonts w:ascii="Times New Roman" w:hAnsi="Times New Roman" w:cs="Times New Roman"/>
          <w:smallCaps/>
        </w:rPr>
        <w:t xml:space="preserve">Political </w:t>
      </w:r>
      <w:r>
        <w:rPr>
          <w:rFonts w:ascii="Times New Roman" w:hAnsi="Times New Roman" w:cs="Times New Roman"/>
          <w:smallCaps/>
        </w:rPr>
        <w:t>Analysis</w:t>
      </w:r>
      <w:r>
        <w:rPr>
          <w:rFonts w:ascii="Times New Roman" w:hAnsi="Times New Roman" w:cs="Times New Roman"/>
        </w:rPr>
        <w:t xml:space="preserve"> 210-224 (Robert E. Goodlin y Charles Tilly</w:t>
      </w:r>
      <w:r>
        <w:t>,</w:t>
      </w:r>
      <w:r>
        <w:rPr>
          <w:rFonts w:ascii="Times New Roman" w:hAnsi="Times New Roman" w:cs="Times New Roman"/>
        </w:rPr>
        <w:t xml:space="preserve"> </w:t>
      </w:r>
      <w:r>
        <w:t>eds.,</w:t>
      </w:r>
      <w:r>
        <w:rPr>
          <w:rFonts w:ascii="Times New Roman" w:hAnsi="Times New Roman" w:cs="Times New Roman"/>
        </w:rPr>
        <w:t xml:space="preserve"> OUP, 2006);</w:t>
      </w:r>
      <w:r w:rsidRPr="004E3A22">
        <w:t xml:space="preserve"> Moritz J. </w:t>
      </w:r>
      <w:r w:rsidRPr="004E3A22">
        <w:t xml:space="preserve">Kleinaltenkamp</w:t>
      </w:r>
      <w:r>
        <w:t xml:space="preserve">, </w:t>
      </w:r>
      <w:r>
        <w:t>The Future Is Now</w:t>
      </w:r>
      <w:r>
        <w:t xml:space="preserve">: </w:t>
      </w:r>
      <w:r>
        <w:t>Non-Linear Temporality in Blockchain Organizing</w:t>
      </w:r>
      <w:r>
        <w:t xml:space="preserve"> (primavera de 2022) (tesis doctoral inédita, </w:t>
      </w:r>
      <w:r>
        <w:t xml:space="preserve">Hertie </w:t>
      </w:r>
      <w:r>
        <w:t xml:space="preserve">School), disponible en [</w:t>
      </w:r>
      <w:r w:rsidRPr="00B45AE0">
        <w:t xml:space="preserve">https://opus4.kobv.de/opus4-hsog/frontdoor/deliver/index/docId/4498/file/Dissertation_Kleinaltenkamp.pdf</w:t>
      </w:r>
      <w:r>
        <w:t xml:space="preserve">].</w:t>
      </w:r>
    </w:p>
  </w:footnote>
  <w:footnote w:id="17">
    <w:p w:rsidR="003441F2" w:rsidRDefault="003441F2" w14:paraId="0536523B" w14:textId="2EB5E4FF">
      <w:pPr>
        <w:pStyle w:val="FootnoteText"/>
      </w:pPr>
      <w:r>
        <w:rPr>
          <w:rStyle w:val="FootnoteReference"/>
        </w:rPr>
        <w:footnoteRef/>
      </w:r>
      <w:r>
        <w:fldChar w:fldCharType="begin"/>
      </w:r>
      <w:r w:rsidR="00C04038">
        <w:instrText xml:space="preserve"> ADDIN ZOTERO_ITEM CSL_CITATION {"citationID":"mlKozkrA","properties":{"formattedCitation":"See Jordan Zlatev, {\\i{}Meaning Making from Life to Language:The Semiotic Hierarchy and Phenomenology}, 11 {\\scaps Cogn. Semiot.} 20180001 (2018); Cf. Rodrigo Antunes Morais &amp; Carlos Miguel Lopes Rosa, {\\i{}Design and Collective Cognition: A Semiotic-Theoretical Framework for Understanding Shared Meanings}, 14 {\\scaps Int. J. Des. Creat. Innov.} 26 (2026).","plainCitation":"See Jordan Zlatev, Meaning Making from Life to Language:The Semiotic Hierarchy and Phenomenology, 11 Cogn. Semiot. 20180001 (2018); Cf. Rodrigo Antunes Morais &amp; Carlos Miguel Lopes Rosa, Design and Collective Cognition: A Semiotic-Theoretical Framework for Understanding Shared Meanings, 14 Int. J. Des. Creat. Innov. 26 (2026).","noteIndex":8},"citationItems":[{"id":129,"uris":["http://zotero.org/users/20142566/items/8Q3BUCXQ"],"itemData":{"id":129,"type":"article-journal","abstract":"Abstract\n            \n              The paper rethinks a proposal for a unified cognitive semiotic framework,\n              The Semiotic Hierarchy,\n              in explicitly phenomenological terms, following above all the work of Merleau-Ponty. The main changes to the earlier formulation of the theory are the following. First, the claim that a general concept of meaning can be understood as the value-based relationship between the subject and the world is shown to correspond to the most fundamental concept of phenomenology:\n              intentionality\n              , understood as “openness to the world.” Second, the rather strict nature of the original hierarchy of meaning levels made the model rather static and one-directional, thus resembling an old-fashioned\n              scala naturae\n              . Reformulating the relationship between the levels in terms of the dynamical notion of\n              Fundierung\n              avoids this pitfall. Third, the phenomenological analysis allows, somewhat paradoxically, both a greater number of levels (\n              life, subjectivity, intersubjectivity, sign function, language\n              ) and less discrete borders between these. Fourth, there is an intimate relation between (levels and kinds of) intentionality and normativity, making the normativity of language a special case. Fifth, to each level of meaning corresponds a dialectics of spontaneity and sedimentation, with corresponding normative structures (e.g., habits, emotions, conventions, signs and grammar) both emerging from and constraining, but not determining, subject-world interactions. Sixth and finally, the analysis follows the basic phenomenological principle to examine the phenomena without theoretical preconceptions, and without premature explanations. This implies a focus on human experience, even when dealing with the “biological” level of meaning, with the possibility of extending the analysis to non-human subjects through empathy. The intention is that this phenomenologically interpreted version of the Semiotic Hierarchy may serve as a useful tool against any kind of meaning reductionism, whether biological, mental, social or linguistic.","container-title":"Cognitive Semiotics","DOI":"10.1515/cogsem-2018-0001","ISSN":"2235-2066, 1662-1425","issue":"1","language":"en","page":"20180001","source":"DOI.org (Crossref)","title":"Meaning making from life to language:The Semiotic Hierarchy and phenomenology","title-short":"Meaning making from life to language","volume":"11","author":[{"family":"Zlatev","given":"Jordan"}],"issued":{"date-parts":[["2018",5,25]]}},"prefix":"See "},{"id":128,"uris":["http://zotero.org/users/20142566/items/XX3EPYJF"],"itemData":{"id":128,"type":"article-journal","abstract":"Design creativity research increasingly emphasizes the need to bridge diverse disciplinary lenses to understand how innovative ideas emerge and gain shared significance. This paper presents a theoretical and integrative investigation of design as a language that mediates collective cognition in design teams and communities. Drawing on Peirce’s triadic semiotic framework, and perspectives from Jung’s archetypes, Lévy-Bruhl’s collective representations, Hutchins’ distributed cognition, and Escobar’s pluriversal design, we consolidate and extend existing discussions by reconceptualizing design as shared meaning-making rather than solely problem-solving. The research problem explores how design artifacts function as cultural symbols that enable co-creation and collective understanding. We adopt a philosophical and literature-based methodology, reviewing key contributions in design cognition and creativity, then integrating semiotic theory to propose a conceptual framework. The originality of this work lies not in claiming a wholly new paradigm, but in articulating a semiotic-theoretical foundation that makes the mechanisms of shared cognition explicit across disciplinary perspectives. Our results show how design artifacts trigger interpretive processes that support group creativity. The discussion suggests design creativity is not only individual cognition but also a distributed, culturally situated phenomenon. We highlight implications for co-design and education, advocating approaches that foreground shared symbolic languages in collaborative creativity.","container-title":"International Journal of Design Creativity and Innovation","DOI":"10.1080/21650349.2025.2575166","ISSN":"2165-0349","issue":"1","note":"_eprint: https://doi.org/10.1080/21650349.2025.2575166","page":"26-50","publisher":"Taylor &amp; Francis","source":"Taylor and Francis+NEJM","title":"Design and collective cognition: a semiotic-theoretical framework for understanding shared meanings","title-short":"Design and collective cognition","volume":"14","author":[{"family":"Morais","given":"Rodrigo Antunes"},{"family":"Rosa","given":"Carlos Miguel Lopes"}],"issued":{"date-parts":[["2026",1,2]]}},"prefix":"Cf."}],"schema":"https://github.com/citation-style-language/schema/raw/master/csl-citation.json"} </w:instrText>
      </w:r>
      <w:r>
        <w:fldChar w:fldCharType="separate"/>
      </w:r>
      <w:r w:rsidRPr="00AF44FA" w:rsidR="00AF44FA">
        <w:rPr>
          <w:rFonts w:cs="Times New Roman"/>
          <w:kern w:val="0"/>
          <w:lang w:bidi="yi-Hebr"/>
        </w:rPr>
        <w:t xml:space="preserve"> Véase Jordan Zlatev, </w:t>
      </w:r>
      <w:r>
        <w:t>Meaning Making from Life to Language</w:t>
      </w:r>
      <w:r>
        <w:rPr>
          <w:rFonts w:cs="Times New Roman"/>
          <w:i/>
          <w:iCs/>
          <w:kern w:val="0"/>
          <w:lang w:bidi="yi-Hebr"/>
        </w:rPr>
        <w:t xml:space="preserve">: </w:t>
      </w:r>
      <w:r>
        <w:t>The Semiotic Hierarchy and Phenomenology</w:t>
      </w:r>
      <w:r w:rsidRPr="00AF44FA" w:rsidR="00AF44FA">
        <w:rPr>
          <w:rFonts w:cs="Times New Roman"/>
          <w:kern w:val="0"/>
          <w:lang w:bidi="yi-Hebr"/>
        </w:rPr>
        <w:t xml:space="preserve">, 11 </w:t>
      </w:r>
      <w:r>
        <w:t>Cogn</w:t>
      </w:r>
      <w:r>
        <w:rPr>
          <w:rFonts w:cs="Times New Roman"/>
          <w:smallCaps/>
          <w:kern w:val="0"/>
          <w:lang w:bidi="yi-Hebr"/>
        </w:rPr>
        <w:t>.</w:t>
      </w:r>
      <w:r>
        <w:t xml:space="preserve"> </w:t>
      </w:r>
      <w:r>
        <w:rPr>
          <w:rFonts w:cs="Times New Roman"/>
          <w:smallCaps/>
          <w:kern w:val="0"/>
          <w:lang w:bidi="yi-Hebr"/>
        </w:rPr>
        <w:t>Semiot</w:t>
      </w:r>
      <w:r w:rsidRPr="00AF44FA" w:rsidR="00AF44FA">
        <w:rPr>
          <w:rFonts w:cs="Times New Roman"/>
          <w:smallCaps/>
          <w:kern w:val="0"/>
          <w:lang w:bidi="yi-Hebr"/>
        </w:rPr>
        <w:t>.</w:t>
      </w:r>
      <w:r>
        <w:rPr>
          <w:rFonts w:cs="Times New Roman"/>
          <w:kern w:val="0"/>
          <w:lang w:bidi="yi-Hebr"/>
        </w:rPr>
        <w:t xml:space="preserve"> 20180001 (2018); </w:t>
      </w:r>
      <w:r>
        <w:t>cf</w:t>
      </w:r>
      <w:r>
        <w:rPr>
          <w:rFonts w:cs="Times New Roman"/>
          <w:kern w:val="0"/>
          <w:lang w:bidi="yi-Hebr"/>
        </w:rPr>
        <w:t xml:space="preserve">. Rodrigo Antunes Morais y Carlos Miguel Lopes Rosa, </w:t>
      </w:r>
      <w:r>
        <w:t>Design and Collective Cognition</w:t>
      </w:r>
      <w:r>
        <w:rPr>
          <w:rFonts w:cs="Times New Roman"/>
          <w:i/>
          <w:iCs/>
          <w:kern w:val="0"/>
          <w:lang w:bidi="yi-Hebr"/>
        </w:rPr>
        <w:t xml:space="preserve">: </w:t>
      </w:r>
      <w:r>
        <w:t>A Semiotic-Theoretical Framework for Understanding Shared Meanings</w:t>
      </w:r>
      <w:r>
        <w:rPr>
          <w:rFonts w:cs="Times New Roman"/>
          <w:kern w:val="0"/>
          <w:lang w:bidi="yi-Hebr"/>
        </w:rPr>
        <w:t>, 14</w:t>
      </w:r>
      <w:r>
        <w:t xml:space="preserve"> </w:t>
      </w:r>
      <w:r>
        <w:rPr>
          <w:rFonts w:cs="Times New Roman"/>
          <w:smallCaps/>
          <w:kern w:val="0"/>
          <w:lang w:bidi="yi-Hebr"/>
        </w:rPr>
        <w:t xml:space="preserve">Int. J. Des. </w:t>
      </w:r>
      <w:r w:rsidRPr="00AF44FA" w:rsidR="00AF44FA">
        <w:rPr>
          <w:rFonts w:cs="Times New Roman"/>
          <w:smallCaps/>
          <w:kern w:val="0"/>
          <w:lang w:bidi="yi-Hebr"/>
        </w:rPr>
        <w:t xml:space="preserve">Creat</w:t>
      </w:r>
      <w:r w:rsidRPr="00AF44FA" w:rsidR="00AF44FA">
        <w:rPr>
          <w:rFonts w:cs="Times New Roman"/>
          <w:smallCaps/>
          <w:kern w:val="0"/>
          <w:lang w:bidi="yi-Hebr"/>
        </w:rPr>
        <w:t xml:space="preserve">. Innov.</w:t>
      </w:r>
      <w:r w:rsidRPr="00AF44FA" w:rsidR="00AF44FA">
        <w:rPr>
          <w:rFonts w:cs="Times New Roman"/>
          <w:kern w:val="0"/>
          <w:lang w:bidi="yi-Hebr"/>
        </w:rPr>
        <w:t xml:space="preserve"> 26 (2026).</w:t>
      </w:r>
      <w:r>
        <w:fldChar w:fldCharType="end"/>
      </w:r>
    </w:p>
  </w:footnote>
  <w:footnote w:id="18">
    <w:p w:rsidR="004817E5" w:rsidRDefault="00000000" w14:paraId="77F1875A"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Véase, por ejemplo, Jürgen Straub, </w:t>
      </w:r>
      <w:r>
        <w:t>Personal and Collective Identity</w:t>
      </w:r>
      <w:r>
        <w:rPr>
          <w:rFonts w:ascii="Times New Roman" w:hAnsi="Times New Roman" w:cs="Times New Roman"/>
          <w:i/>
          <w:iCs/>
        </w:rPr>
        <w:t xml:space="preserve">: </w:t>
      </w:r>
      <w:r>
        <w:t>A Conceptual Analysis</w:t>
      </w:r>
      <w:r>
        <w:rPr>
          <w:rFonts w:ascii="Times New Roman" w:hAnsi="Times New Roman" w:cs="Times New Roman"/>
        </w:rPr>
        <w:t xml:space="preserve">, en </w:t>
      </w:r>
      <w:r>
        <w:t>Identities</w:t>
      </w:r>
      <w:r>
        <w:rPr>
          <w:rFonts w:ascii="Times New Roman" w:hAnsi="Times New Roman" w:cs="Times New Roman"/>
        </w:rPr>
        <w:t xml:space="preserve">: </w:t>
      </w:r>
      <w:r>
        <w:t>Time</w:t>
      </w:r>
      <w:r>
        <w:rPr>
          <w:rFonts w:ascii="Times New Roman" w:hAnsi="Times New Roman" w:cs="Times New Roman"/>
        </w:rPr>
        <w:t xml:space="preserve">, </w:t>
      </w:r>
      <w:r>
        <w:t>Difference, and Boundaries</w:t>
      </w:r>
      <w:r>
        <w:rPr>
          <w:rFonts w:ascii="Times New Roman" w:hAnsi="Times New Roman" w:cs="Times New Roman"/>
        </w:rPr>
        <w:t xml:space="preserve"> 54-76 (Heidrun Friese</w:t>
      </w:r>
      <w:r>
        <w:t>,</w:t>
      </w:r>
      <w:r>
        <w:rPr>
          <w:rFonts w:ascii="Times New Roman" w:hAnsi="Times New Roman" w:cs="Times New Roman"/>
        </w:rPr>
        <w:t xml:space="preserve"> </w:t>
      </w:r>
      <w:r>
        <w:t>ed.,</w:t>
      </w:r>
      <w:r>
        <w:rPr>
          <w:rFonts w:ascii="Times New Roman" w:hAnsi="Times New Roman" w:cs="Times New Roman"/>
        </w:rPr>
        <w:t xml:space="preserve"> </w:t>
      </w:r>
      <w:r>
        <w:rPr>
          <w:rFonts w:ascii="Times New Roman" w:hAnsi="Times New Roman" w:cs="Times New Roman"/>
        </w:rPr>
        <w:t xml:space="preserve">Berghahn </w:t>
      </w:r>
      <w:r>
        <w:rPr>
          <w:rFonts w:ascii="Times New Roman" w:hAnsi="Times New Roman" w:cs="Times New Roman"/>
        </w:rPr>
        <w:t xml:space="preserve">Books, 2002) (la identidad como </w:t>
      </w:r>
      <w:r>
        <w:t>constructo</w:t>
      </w:r>
      <w:r>
        <w:rPr>
          <w:rFonts w:ascii="Times New Roman" w:hAnsi="Times New Roman" w:cs="Times New Roman"/>
        </w:rPr>
        <w:t xml:space="preserve"> que </w:t>
      </w:r>
      <w:r>
        <w:t>designa lo</w:t>
      </w:r>
      <w:r>
        <w:rPr>
          <w:rFonts w:ascii="Times New Roman" w:hAnsi="Times New Roman" w:cs="Times New Roman"/>
        </w:rPr>
        <w:t xml:space="preserve"> común, cuya especificación se </w:t>
      </w:r>
      <w:r>
        <w:t>realiza</w:t>
      </w:r>
      <w:r>
        <w:rPr>
          <w:rFonts w:ascii="Times New Roman" w:hAnsi="Times New Roman" w:cs="Times New Roman"/>
        </w:rPr>
        <w:t xml:space="preserve"> en su «relación práctica consigo misma y con el mundo, así como en la relación de los miembros individuales consigo mismos y con el mundo», ibíd., 71).</w:t>
      </w:r>
    </w:p>
  </w:footnote>
  <w:footnote w:id="19">
    <w:p w:rsidR="004817E5" w:rsidRDefault="00000000" w14:paraId="07E27206"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Para </w:t>
      </w:r>
      <w:r>
        <w:t xml:space="preserve">los </w:t>
      </w:r>
      <w:r>
        <w:rPr>
          <w:rFonts w:ascii="Times New Roman" w:hAnsi="Times New Roman" w:cs="Times New Roman"/>
        </w:rPr>
        <w:t xml:space="preserve">enfoques </w:t>
      </w:r>
      <w:r>
        <w:t>fundacionales</w:t>
      </w:r>
      <w:r>
        <w:rPr>
          <w:rFonts w:ascii="Times New Roman" w:hAnsi="Times New Roman" w:cs="Times New Roman"/>
        </w:rPr>
        <w:t xml:space="preserve">, véase, por ejemplo, Peter J. </w:t>
      </w:r>
      <w:r>
        <w:rPr>
          <w:rFonts w:ascii="Times New Roman" w:hAnsi="Times New Roman" w:cs="Times New Roman"/>
        </w:rPr>
        <w:t xml:space="preserve">Dennning</w:t>
      </w:r>
      <w:r>
        <w:rPr>
          <w:rFonts w:ascii="Times New Roman" w:hAnsi="Times New Roman" w:cs="Times New Roman"/>
        </w:rPr>
        <w:t xml:space="preserve">, </w:t>
      </w:r>
      <w:r>
        <w:t>Virtual Memory</w:t>
      </w:r>
      <w:r>
        <w:rPr>
          <w:rFonts w:ascii="Times New Roman" w:hAnsi="Times New Roman" w:cs="Times New Roman"/>
        </w:rPr>
        <w:t>, 2(3) ACM Computing Surveys (CSUR</w:t>
      </w:r>
      <w:r>
        <w:t>)</w:t>
      </w:r>
      <w:r>
        <w:rPr>
          <w:rFonts w:ascii="Times New Roman" w:hAnsi="Times New Roman" w:cs="Times New Roman"/>
        </w:rPr>
        <w:t xml:space="preserve"> 153–189 (1970); disponible en https://doi.org/10.1145/356571.356573; para </w:t>
      </w:r>
      <w:r>
        <w:t>las cuestiones contemporáneas</w:t>
      </w:r>
      <w:r>
        <w:rPr>
          <w:rFonts w:ascii="Times New Roman" w:hAnsi="Times New Roman" w:cs="Times New Roman"/>
        </w:rPr>
        <w:t xml:space="preserve">, véase, por ejemplo, Ciprian </w:t>
      </w:r>
      <w:r>
        <w:rPr>
          <w:rFonts w:ascii="Times New Roman" w:hAnsi="Times New Roman" w:cs="Times New Roman"/>
        </w:rPr>
        <w:t xml:space="preserve">Pungilă</w:t>
      </w:r>
      <w:r>
        <w:rPr>
          <w:rFonts w:ascii="Times New Roman" w:hAnsi="Times New Roman" w:cs="Times New Roman"/>
        </w:rPr>
        <w:t>, Otilia Muntean</w:t>
      </w:r>
      <w:r>
        <w:t xml:space="preserve"> y</w:t>
      </w:r>
      <w:r>
        <w:rPr>
          <w:rFonts w:ascii="Times New Roman" w:hAnsi="Times New Roman" w:cs="Times New Roman"/>
        </w:rPr>
        <w:t xml:space="preserve"> Andreea-Rebeca Tonu, </w:t>
      </w:r>
      <w:r>
        <w:t>BRIDGE</w:t>
      </w:r>
      <w:r>
        <w:rPr>
          <w:rFonts w:ascii="Times New Roman" w:hAnsi="Times New Roman" w:cs="Times New Roman"/>
        </w:rPr>
        <w:t xml:space="preserve">: </w:t>
      </w:r>
      <w:r>
        <w:t>A memory-efficient blockchain-agnostic layer for chain topology representation in heterogeneous architectures</w:t>
      </w:r>
      <w:r>
        <w:rPr>
          <w:rFonts w:ascii="Times New Roman" w:hAnsi="Times New Roman" w:cs="Times New Roman"/>
        </w:rPr>
        <w:t>, 733 Information Sciences 122911 (25 de abril de 2026); disponible en https://doi.org/10.1016/j.ins.2025.122911.</w:t>
      </w:r>
    </w:p>
  </w:footnote>
  <w:footnote w:id="20">
    <w:p w:rsidR="004817E5" w:rsidRDefault="00000000" w14:paraId="153CFA11"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Véase, por ejemplo, Kamran Ahmad Awan, Ikram Ud Din, Ahmad Almogren y Byung Seo-Kim, </w:t>
      </w:r>
      <w:r>
        <w:t>Blockchain-Based Trust Management for Virtual Entities in the Metaverse</w:t>
      </w:r>
      <w:r>
        <w:rPr>
          <w:rFonts w:ascii="Times New Roman" w:hAnsi="Times New Roman" w:cs="Times New Roman"/>
          <w:i/>
          <w:iCs/>
        </w:rPr>
        <w:t xml:space="preserve">: </w:t>
      </w:r>
      <w:r>
        <w:t>A Model for Avatar and Virtual Organization Interactions</w:t>
      </w:r>
      <w:r>
        <w:rPr>
          <w:rFonts w:ascii="Times New Roman" w:hAnsi="Times New Roman" w:cs="Times New Roman"/>
        </w:rPr>
        <w:t>, IEEE Access (30 de noviembre de 2023); disponible en 0.1109/ACCESS.2023.3337806.</w:t>
      </w:r>
    </w:p>
  </w:footnote>
  <w:footnote w:id="21">
    <w:p w:rsidRPr="00EF62D0" w:rsidR="00500853" w:rsidP="00500853" w:rsidRDefault="00500853" w14:paraId="77E7E956" w14:textId="55B395E1">
      <w:pPr>
        <w:pStyle w:val="FootnoteText"/>
        <w:rPr>
          <w:rFonts w:ascii="Times New Roman" w:hAnsi="Times New Roman" w:cs="Times New Roman"/>
        </w:rPr>
      </w:pPr>
      <w:r w:rsidRPr="00EF62D0">
        <w:rPr>
          <w:rStyle w:val="FootnoteReference"/>
          <w:rFonts w:ascii="Times New Roman" w:hAnsi="Times New Roman" w:cs="Times New Roman"/>
        </w:rPr>
        <w:footnoteRef/>
      </w:r>
      <w:r>
        <w:rPr>
          <w:rFonts w:ascii="Times New Roman" w:hAnsi="Times New Roman" w:cs="Times New Roman"/>
        </w:rPr>
        <w:t xml:space="preserve"> En una cadena de bloques en funcionamiento no se produce una sobrescritura directa. Una vez que un bloque ha sido validado y agregado a la cadena, alterarlo rompería el vínculo criptográfico con todos los bloques posteriores, y la copia alterada sería rechazada por los demás nodos. El libro mayor se describe mejor como de «solo agregación». Los errores no se borran, sino que se corrigen mediante entradas posteriores, de modo que tanto la transacción original como su corrección permanecen visibles.</w:t>
      </w:r>
    </w:p>
    <w:p w:rsidRPr="00EF62D0" w:rsidR="00500853" w:rsidRDefault="00224989" w14:paraId="0592FD88" w14:textId="76CE67F7">
      <w:pPr>
        <w:pStyle w:val="FootnoteText"/>
        <w:rPr>
          <w:rFonts w:ascii="Times New Roman" w:hAnsi="Times New Roman" w:cs="Times New Roman"/>
        </w:rPr>
      </w:pPr>
      <w:r>
        <w:rPr>
          <w:rFonts w:ascii="Times New Roman" w:hAnsi="Times New Roman" w:cs="Times New Roman"/>
        </w:rPr>
        <w:t xml:space="preserve">No obstante, esa inalterabilidad es contingente, no absoluta. Un actor que controle la mayoría del poder computacional o la participación de una red puede reescribir el historial reciente al generar una cadena alternativa, lo que se conoce como un «ataque del 51 %», el cual es lo suficientemente costoso como para que sea más plausible contra redes más pequeñas. La comunidad que opera una cadena también puede acordar apartarse de su historial registrado, y la criptografía en la que se basa la cadena se sustenta en supuestos de dificultad que la computación cuántica podría socavar. Ambas posibilidades se abordan en la Parte </w:t>
      </w:r>
      <w:r>
        <w:rPr>
          <w:rFonts w:ascii="Times New Roman" w:hAnsi="Times New Roman" w:cs="Times New Roman"/>
        </w:rPr>
        <w:t xml:space="preserve">V.ii</w:t>
      </w:r>
      <w:r>
        <w:rPr>
          <w:rFonts w:ascii="Times New Roman" w:hAnsi="Times New Roman" w:cs="Times New Roman"/>
        </w:rPr>
        <w:t xml:space="preserve">, </w:t>
      </w:r>
      <w:r>
        <w:rPr>
          <w:rFonts w:ascii="Times New Roman" w:hAnsi="Times New Roman" w:cs="Times New Roman"/>
          <w:i/>
          <w:iCs/>
        </w:rPr>
        <w:t xml:space="preserve">más adelante</w:t>
      </w:r>
      <w:r>
        <w:rPr>
          <w:rFonts w:ascii="Times New Roman" w:hAnsi="Times New Roman" w:cs="Times New Roman"/>
        </w:rPr>
        <w:t xml:space="preserve">.</w:t>
      </w:r>
    </w:p>
  </w:footnote>
  <w:footnote w:id="22">
    <w:p w:rsidR="002048A4" w:rsidRDefault="002048A4" w14:paraId="7F20DF5C" w14:textId="1861C8A8">
      <w:pPr>
        <w:pStyle w:val="FootnoteText"/>
      </w:pPr>
      <w:r>
        <w:rPr>
          <w:rStyle w:val="FootnoteReference"/>
        </w:rPr>
        <w:footnoteRef/>
      </w:r>
      <w:r>
        <w:fldChar w:fldCharType="begin"/>
      </w:r>
      <w:r w:rsidR="00C04038">
        <w:instrText xml:space="preserve"> ADDIN ZOTERO_ITEM CSL_CITATION {"citationID":"s0ilvvcO","properties":{"formattedCitation":"Larry Cat\\uc0\\u225{} Backer, {\\i{}Trust Platforms: The Digitalization of Corporate Governance and the Transformation of Trust in Polycentric Space}, 19 {\\scaps Regul. Gov.} 806 (2025).","plainCitation":"Larry Catá Backer, Trust Platforms: The Digitalization of Corporate Governance and the Transformation of Trust in Polycentric Space, 19 Regul. Gov. 806 (2025).","noteIndex":10},"citationItems":[{"id":127,"uris":["http://zotero.org/users/20142566/items/PZ5MB8MJ"],"itemData":{"id":127,"type":"article-journal","abstract":"This contribution considers the revolution in the concept and practice of trust in corporate governance that first moved from trust in “people” to trust in “compliance,” setting the stage for the digitization of trust measures and the digitalization of compliance. Part One examines the fundamental challenge, one that arises from the near simultaneous shift in cultural expectations about trust from trust in character to trust in measurement, and then the rise of cultures of data driven systems of compliance and accountability. Part Two then considers the transformation brought by challenge responses in the form of three closely interlinked impulses: digitization, digitalization of compliance-accountability regimes, and the emergence of platforms as spaces for trust interactions among stakeholders. Part Three then examines the current shape of these iterative dialectics, including connections between platforms and polycentric trust governance, and the detachment of trust from the entity that is its subject.","container-title":"Regulation &amp; Governance","DOI":"10.1111/rego.12614","ISSN":"1748-5991","issue":"3","language":"en","license":"© 2024 The Author(s). Regulation &amp; Governance published by John Wiley &amp; Sons Australia, Ltd.","note":"_eprint: https://onlinelibrary.wiley.com/doi/pdf/10.1111/rego.12614","page":"806-830","source":"Wiley Online Library","title":"Trust platforms: The digitalization of corporate governance and the transformation of trust in polycentric space","title-short":"Trust platforms","volume":"19","author":[{"family":"Backer","given":"Larry Catá"}],"issued":{"date-parts":[["2025"]]}}}],"schema":"https://github.com/citation-style-language/schema/raw/master/csl-citation.json"} </w:instrText>
      </w:r>
      <w:r>
        <w:fldChar w:fldCharType="separate"/>
      </w:r>
      <w:r w:rsidRPr="002048A4">
        <w:rPr>
          <w:rFonts w:cs="Times New Roman"/>
          <w:kern w:val="0"/>
          <w:lang w:bidi="yi-Hebr"/>
        </w:rPr>
        <w:t xml:space="preserve"> Larry Catá Backer, </w:t>
      </w:r>
      <w:r>
        <w:t>Trust</w:t>
      </w:r>
      <w:r>
        <w:rPr>
          <w:rFonts w:cs="Times New Roman"/>
          <w:i/>
          <w:iCs/>
          <w:kern w:val="0"/>
          <w:lang w:bidi="yi-Hebr"/>
        </w:rPr>
        <w:t xml:space="preserve"> Platforms: The Digitalization of Corporate Governance and the Transformation of Trust in Polycentric </w:t>
      </w:r>
      <w:r>
        <w:t>Space</w:t>
      </w:r>
      <w:r w:rsidRPr="002048A4">
        <w:rPr>
          <w:rFonts w:cs="Times New Roman"/>
          <w:kern w:val="0"/>
          <w:lang w:bidi="yi-Hebr"/>
        </w:rPr>
        <w:t xml:space="preserve">, 19 </w:t>
      </w:r>
      <w:r>
        <w:t>Regul</w:t>
      </w:r>
      <w:r>
        <w:rPr>
          <w:rFonts w:cs="Times New Roman"/>
          <w:smallCaps/>
          <w:kern w:val="0"/>
          <w:lang w:bidi="yi-Hebr"/>
        </w:rPr>
        <w:t>.</w:t>
      </w:r>
      <w:r>
        <w:t xml:space="preserve"> &amp;</w:t>
      </w:r>
      <w:r>
        <w:rPr>
          <w:rFonts w:cs="Times New Roman"/>
          <w:smallCaps/>
          <w:kern w:val="0"/>
          <w:lang w:bidi="yi-Hebr"/>
        </w:rPr>
        <w:t xml:space="preserve"> Gov.</w:t>
      </w:r>
      <w:r w:rsidRPr="002048A4">
        <w:rPr>
          <w:rFonts w:cs="Times New Roman"/>
          <w:kern w:val="0"/>
          <w:lang w:bidi="yi-Hebr"/>
        </w:rPr>
        <w:t xml:space="preserve"> 806 (2025).</w:t>
      </w:r>
      <w:r>
        <w:fldChar w:fldCharType="end"/>
      </w:r>
    </w:p>
  </w:footnote>
  <w:footnote w:id="23">
    <w:p w:rsidR="004817E5" w:rsidRDefault="00000000" w14:paraId="5F522641"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Considérense, a este respecto, los sistemas de crédito social chinos. Véase, por ejemplo</w:t>
      </w:r>
      <w:r>
        <w:rPr>
          <w:rFonts w:ascii="Times New Roman" w:hAnsi="Times New Roman" w:cs="Times New Roman"/>
        </w:rPr>
        <w:t xml:space="preserve">,</w:t>
      </w:r>
      <w:r>
        <w:rPr>
          <w:rFonts w:ascii="Times New Roman" w:hAnsi="Times New Roman" w:cs="Times New Roman"/>
        </w:rPr>
        <w:t xml:space="preserve"> </w:t>
      </w:r>
      <w:r>
        <w:rPr>
          <w:rFonts w:ascii="Times New Roman" w:hAnsi="Times New Roman" w:cs="Times New Roman"/>
        </w:rPr>
        <w:t xml:space="preserve">Chuncheng </w:t>
      </w:r>
      <w:r>
        <w:rPr>
          <w:rFonts w:ascii="Times New Roman" w:hAnsi="Times New Roman" w:cs="Times New Roman"/>
        </w:rPr>
        <w:t xml:space="preserve">Liu, </w:t>
      </w:r>
      <w:r>
        <w:rPr>
          <w:rFonts w:ascii="Times New Roman" w:hAnsi="Times New Roman" w:cs="Times New Roman"/>
          <w:i/>
          <w:iCs/>
        </w:rPr>
        <w:t xml:space="preserve">«Multiple Social Credit Systems in China</w:t>
      </w:r>
      <w:r>
        <w:rPr>
          <w:rFonts w:ascii="Times New Roman" w:hAnsi="Times New Roman" w:cs="Times New Roman"/>
        </w:rPr>
        <w:t xml:space="preserve">», 21(1) </w:t>
      </w:r>
      <w:r>
        <w:rPr>
          <w:rFonts w:ascii="Times New Roman" w:hAnsi="Times New Roman" w:cs="Times New Roman"/>
          <w:smallCaps/>
        </w:rPr>
        <w:t xml:space="preserve">Economic </w:t>
      </w:r>
      <w:r>
        <w:rPr>
          <w:rFonts w:ascii="Times New Roman" w:hAnsi="Times New Roman" w:cs="Times New Roman"/>
          <w:smallCaps/>
        </w:rPr>
        <w:t xml:space="preserve">Sociology</w:t>
      </w:r>
      <w:r>
        <w:rPr>
          <w:rFonts w:ascii="Times New Roman" w:hAnsi="Times New Roman" w:cs="Times New Roman"/>
        </w:rPr>
        <w:t xml:space="preserve">, pp</w:t>
      </w:r>
      <w:r>
        <w:rPr>
          <w:rFonts w:ascii="Times New Roman" w:hAnsi="Times New Roman" w:cs="Times New Roman"/>
        </w:rPr>
        <w:t xml:space="preserve">. 22-32 (2019).</w:t>
      </w:r>
    </w:p>
  </w:footnote>
  <w:footnote w:id="24">
    <w:p w:rsidR="004175F7" w:rsidRDefault="004175F7" w14:paraId="6AB2E8DE" w14:textId="691BB74C">
      <w:pPr>
        <w:pStyle w:val="FootnoteText"/>
      </w:pPr>
      <w:r>
        <w:rPr>
          <w:rStyle w:val="FootnoteReference"/>
        </w:rPr>
        <w:footnoteRef/>
      </w:r>
      <w:r>
        <w:fldChar w:fldCharType="begin"/>
      </w:r>
      <w:r w:rsidR="00C04038">
        <w:instrText xml:space="preserve"> ADDIN ZOTERO_ITEM CSL_CITATION {"citationID":"wgP8okkN","properties":{"formattedCitation":"See Larry Cat\\uc0\\u225{} Backer, {\\i{}The Soulful Machine, the Virtual Person, and the \\uc0\\u8220{}Human\\uc0\\u8221{} Condition: An Encounter with Jan M. Broekman, Knowledge in Change: The Semiotics of Cognition and Conversion (Cham, Switzerland: Springer Nature, 2023)}, 37 {\\scaps Int. J. Semiot. Law - Rev. Int. S\\uc0\\u233{}miot. Jurid.} 969 (2024); 8 {\\scaps Jan M. Broekman}, {\\scaps Knowledge in Change: The Semiotics of Cognition and Conversion} (2023), https://link.springer.com/10.1007/978-3-031-23001-1; Niklas Luhmann, {\\i{}Sign as Form}, {\\i{}in} {\\scaps Problems of Form} 46 (Dirk Baecker ed., 1999), https://www.degruyter.com/document/doi/10.1515/9781503617698-005/html; Vladislav Valentinov, {\\i{}Wiener and Luhmann on Feedback: From Complexity to Sustainability}, 46 {\\scaps Kybernetes} 386 (2017).","plainCitation":"See Larry Catá Backer, The Soulful Machine, the Virtual Person, and the “Human” Condition: An Encounter with Jan M. Broekman, Knowledge in Change: The Semiotics of Cognition and Conversion (Cham, Switzerland: Springer Nature, 2023), 37 Int. J. Semiot. Law - Rev. Int. Sémiot. Jurid. 969 (2024); 8 Jan M. Broekman, Knowledge in Change: The Semiotics of Cognition and Conversion (2023), https://link.springer.com/10.1007/978-3-031-23001-1; Niklas Luhmann, Sign as Form, in Problems of Form 46 (Dirk Baecker ed., 1999), https://www.degruyter.com/document/doi/10.1515/9781503617698-005/html; Vladislav Valentinov, Wiener and Luhmann on Feedback: From Complexity to Sustainability, 46 Kybernetes 386 (2017).","noteIndex":11},"citationItems":[{"id":52,"uris":["http://zotero.org/users/20142566/items/TMJVLP43"],"itemData":{"id":52,"type":"article-journal","container-title":"International Journal for the Semiotics of Law - Revue internationale de Sémiotique juridique","DOI":"10.1007/s11196-023-10065-4","ISSN":"0952-8059, 1572-8722","issue":"3","journalAbbreviation":"Int J Semiot Law","language":"en","page":"969-1083","source":"DOI.org (Crossref)","title":"The Soulful Machine, the Virtual Person, and the “Human” Condition: An Encounter with Jan M. Broekman, Knowledge in Change: The Semiotics of Cognition and Conversion (Cham, Switzerland: Springer Nature, 2023)","title-short":"The Soulful Machine, the Virtual Person, and the “Human” Condition","volume":"37","author":[{"family":"Backer","given":"Larry Catá"}],"issued":{"date-parts":[["2024",5]]}},"prefix":"See"},{"id":135,"uris":["http://zotero.org/users/20142566/items/YH63TXDJ"],"itemData":{"id":135,"type":"book","collection-title":"Law and Visual Jurisprudence","DOI":"10.1007/978-3-031-23001-1","ISBN":"978-3-031-23000-4","language":"en","license":"https://www.springernature.com/gp/researchers/text-and-data-mining","publisher":"Springer Nature Switzerland","publisher-place":"Cham","source":"DOI.org (Crossref)","title":"Knowledge in Change: The Semiotics of Cognition and Conversion","title-short":"Knowledge in Change","URL":"https://link.springer.com/10.1007/978-3-031-23001-1","volume":"8","author":[{"family":"Broekman","given":"Jan M."}],"accessed":{"date-parts":[["2026",4,13]]},"issued":{"date-parts":[["2023"]]}}},{"id":126,"uris":["http://zotero.org/users/20142566/items/K242FQCA"],"itemData":{"id":126,"type":"chapter","container-title":"Problems of Form","DOI":"10.1515/9781503617698-005","ISBN":"978-1-5036-1769-8","page":"46-63","publisher":"Stanford University Press","source":"DOI.org (Crossref)","title":"Sign as Form","URL":"https://www.degruyter.com/document/doi/10.1515/9781503617698-005/html","editor":[{"family":"Baecker","given":"Dirk"}],"author":[{"family":"Luhmann","given":"Niklas"}],"accessed":{"date-parts":[["2026",4,13]]},"issued":{"date-parts":[["1999",8,1]]}}},{"id":125,"uris":["http://zotero.org/users/20142566/items/L67S9CUS"],"itemData":{"id":125,"type":"article-journal","abstract":"The rise of the general systems theory in the twentieth century would not have been possible without the concept of feedback. Of special interest to the present paper is Niklas Luhmann’s reconstruction and critique of Wiener’s cybernetic approach to the feedback concept. Luhmann has suggested that the operation of the feedback-controlled systems potentially poses problems of sustainability. The purpose of this paper is to explore this suggestion in more detail.The reconstruction of the arguments of Luhmann and Wiener shows that both scholars approached the feedback concept from the “system-environment” perspective. Luhmann takes system-environment relations to be inherently precarious. Wiener underscores the importance of the sensitivity of the feedback-controlled systems to their environment.Drawing on Norbert Wiener’s and Niklas Luhmann’s ideas, the paper shows that every specification of the feedback mechanism implies the drawing of the moral boundary that demarcates those parts of the environment to which the relevant system is sensitive from those to which it is not. A likely outcome of this boundary drawing is the maintenance of intra-systemic complexity at the cost of the deteriorating sustainability of the system in its environment.Until today, the general system theory has sought to explain organized complexity and rightly underscored the role of feedback in maintaining it, thereby inadvertently creating the chasm between the complexity and sustainability dimensions of human civilization. The present paper pleads for reorienting of the systems-theoretic analysis of the feedback concept toward closing this chasm.","container-title":"Kybernetes","DOI":"10.1108/K-11-2016-0317","ISSN":"0368-492X","issue":"3","journalAbbreviation":"Kybernetes","page":"386-399","source":"Silverchair","title":"Wiener and Luhmann on feedback: from complexity to sustainability","title-short":"Wiener and Luhmann on feedback","volume":"46","author":[{"family":"Valentinov","given":"Vladislav"}],"issued":{"date-parts":[["2017",3,6]]}}}],"schema":"https://github.com/citation-style-language/schema/raw/master/csl-citation.json"} </w:instrText>
      </w:r>
      <w:r>
        <w:fldChar w:fldCharType="separate"/>
      </w:r>
      <w:r w:rsidRPr="00A74209" w:rsidR="00A74209">
        <w:rPr>
          <w:rFonts w:cs="Times New Roman"/>
          <w:kern w:val="0"/>
          <w:lang w:bidi="yi-Hebr"/>
        </w:rPr>
        <w:t xml:space="preserve"> Véase Larry Catá Backer, </w:t>
      </w:r>
      <w:r>
        <w:t>The Soulful Machine</w:t>
      </w:r>
      <w:r>
        <w:rPr>
          <w:rFonts w:cs="Times New Roman"/>
          <w:i/>
          <w:iCs/>
          <w:kern w:val="0"/>
          <w:lang w:bidi="yi-Hebr"/>
        </w:rPr>
        <w:t xml:space="preserve">, </w:t>
      </w:r>
      <w:r>
        <w:t>the Virtual Person, and the “Human” Condition: An Encounter with</w:t>
      </w:r>
      <w:r>
        <w:rPr>
          <w:rFonts w:cs="Times New Roman"/>
          <w:i/>
          <w:iCs/>
          <w:kern w:val="0"/>
          <w:lang w:bidi="yi-Hebr"/>
        </w:rPr>
        <w:t xml:space="preserve"> Jan M. </w:t>
      </w:r>
      <w:r>
        <w:t>Broekman</w:t>
      </w:r>
      <w:r>
        <w:rPr>
          <w:rFonts w:cs="Times New Roman"/>
          <w:i/>
          <w:iCs/>
          <w:kern w:val="0"/>
          <w:lang w:bidi="yi-Hebr"/>
        </w:rPr>
        <w:t xml:space="preserve">, </w:t>
      </w:r>
      <w:r>
        <w:t>Knowledge</w:t>
      </w:r>
      <w:r>
        <w:rPr>
          <w:rFonts w:cs="Times New Roman"/>
          <w:i/>
          <w:iCs/>
          <w:kern w:val="0"/>
          <w:lang w:bidi="yi-Hebr"/>
        </w:rPr>
        <w:t xml:space="preserve"> in Change: The Semiotics of Cognition and </w:t>
      </w:r>
      <w:r>
        <w:t>Conversion</w:t>
      </w:r>
      <w:r>
        <w:rPr>
          <w:rFonts w:cs="Times New Roman"/>
          <w:i/>
          <w:iCs/>
          <w:kern w:val="0"/>
          <w:lang w:bidi="yi-Hebr"/>
        </w:rPr>
        <w:t xml:space="preserve"> (Cham, Suiza: Springer Nature, 2023)</w:t>
      </w:r>
      <w:r>
        <w:rPr>
          <w:rFonts w:cs="Times New Roman"/>
          <w:kern w:val="0"/>
          <w:lang w:bidi="yi-Hebr"/>
        </w:rPr>
        <w:t>, 37</w:t>
      </w:r>
      <w:r>
        <w:t xml:space="preserve"> </w:t>
      </w:r>
      <w:r>
        <w:rPr>
          <w:rFonts w:cs="Times New Roman"/>
          <w:smallCaps/>
          <w:kern w:val="0"/>
          <w:lang w:bidi="yi-Hebr"/>
        </w:rPr>
        <w:t xml:space="preserve">Int. J. </w:t>
      </w:r>
      <w:r w:rsidRPr="00A74209" w:rsidR="00A74209">
        <w:rPr>
          <w:rFonts w:cs="Times New Roman"/>
          <w:smallCaps/>
          <w:kern w:val="0"/>
          <w:lang w:bidi="yi-Hebr"/>
        </w:rPr>
        <w:t xml:space="preserve">Semiot</w:t>
      </w:r>
      <w:r w:rsidRPr="00A74209" w:rsidR="00A74209">
        <w:rPr>
          <w:rFonts w:cs="Times New Roman"/>
          <w:smallCaps/>
          <w:kern w:val="0"/>
          <w:lang w:bidi="yi-Hebr"/>
        </w:rPr>
        <w:t xml:space="preserve">. Law - Rev. Int. </w:t>
      </w:r>
      <w:r w:rsidRPr="00A74209" w:rsidR="00A74209">
        <w:rPr>
          <w:rFonts w:cs="Times New Roman"/>
          <w:smallCaps/>
          <w:kern w:val="0"/>
          <w:lang w:bidi="yi-Hebr"/>
        </w:rPr>
        <w:t xml:space="preserve">Sémiot</w:t>
      </w:r>
      <w:r>
        <w:rPr>
          <w:rFonts w:cs="Times New Roman"/>
          <w:smallCaps/>
          <w:kern w:val="0"/>
          <w:lang w:bidi="yi-Hebr"/>
        </w:rPr>
        <w:t>.</w:t>
      </w:r>
      <w:r>
        <w:t xml:space="preserve"> </w:t>
      </w:r>
      <w:r>
        <w:rPr>
          <w:rFonts w:cs="Times New Roman"/>
          <w:smallCaps/>
          <w:kern w:val="0"/>
          <w:lang w:bidi="yi-Hebr"/>
        </w:rPr>
        <w:t>Jurid</w:t>
      </w:r>
      <w:r w:rsidRPr="00A74209" w:rsidR="00A74209">
        <w:rPr>
          <w:rFonts w:cs="Times New Roman"/>
          <w:smallCaps/>
          <w:kern w:val="0"/>
          <w:lang w:bidi="yi-Hebr"/>
        </w:rPr>
        <w:t>.</w:t>
      </w:r>
      <w:r>
        <w:rPr>
          <w:rFonts w:cs="Times New Roman"/>
          <w:kern w:val="0"/>
          <w:lang w:bidi="yi-Hebr"/>
        </w:rPr>
        <w:t xml:space="preserve"> 969 (2024); 8</w:t>
      </w:r>
      <w:r>
        <w:t xml:space="preserve"> </w:t>
      </w:r>
      <w:r>
        <w:rPr>
          <w:rFonts w:cs="Times New Roman"/>
          <w:smallCaps/>
          <w:kern w:val="0"/>
          <w:lang w:bidi="yi-Hebr"/>
        </w:rPr>
        <w:t>Jan M. Broekman</w:t>
      </w:r>
      <w:r>
        <w:rPr>
          <w:rFonts w:cs="Times New Roman"/>
          <w:kern w:val="0"/>
          <w:lang w:bidi="yi-Hebr"/>
        </w:rPr>
        <w:t>,</w:t>
      </w:r>
      <w:r>
        <w:t xml:space="preserve"> </w:t>
      </w:r>
      <w:r>
        <w:rPr>
          <w:rFonts w:cs="Times New Roman"/>
          <w:smallCaps/>
          <w:kern w:val="0"/>
          <w:lang w:bidi="yi-Hebr"/>
        </w:rPr>
        <w:t xml:space="preserve">Knowledge in Change: The Semiotics of Cognition and Conversion </w:t>
      </w:r>
      <w:r w:rsidRPr="00A74209" w:rsidR="00A74209">
        <w:rPr>
          <w:rFonts w:cs="Times New Roman"/>
          <w:kern w:val="0"/>
          <w:lang w:bidi="yi-Hebr"/>
        </w:rPr>
        <w:t xml:space="preserve">(2023), https://link.springer.com/10.1007/978-3-031-23001-1; Niklas Luhmann, </w:t>
      </w:r>
      <w:r>
        <w:t>Sign as Form,</w:t>
      </w:r>
      <w:r>
        <w:rPr>
          <w:rFonts w:cs="Times New Roman"/>
          <w:i/>
          <w:iCs/>
          <w:kern w:val="0"/>
          <w:lang w:bidi="yi-Hebr"/>
        </w:rPr>
        <w:t xml:space="preserve"> </w:t>
      </w:r>
      <w:r>
        <w:rPr>
          <w:rFonts w:cs="Times New Roman"/>
          <w:i/>
          <w:iCs/>
          <w:kern w:val="0"/>
          <w:lang w:bidi="yi-Hebr"/>
        </w:rPr>
        <w:t xml:space="preserve">en </w:t>
      </w:r>
      <w:r>
        <w:t>Problems of Form</w:t>
      </w:r>
      <w:r>
        <w:rPr>
          <w:rFonts w:cs="Times New Roman"/>
          <w:kern w:val="0"/>
          <w:lang w:bidi="yi-Hebr"/>
        </w:rPr>
        <w:t xml:space="preserve"> 46 </w:t>
      </w:r>
      <w:r>
        <w:t>(Dirk</w:t>
      </w:r>
      <w:r>
        <w:rPr>
          <w:rFonts w:cs="Times New Roman"/>
          <w:kern w:val="0"/>
          <w:lang w:bidi="yi-Hebr"/>
        </w:rPr>
        <w:t xml:space="preserve"> Baecker,</w:t>
      </w:r>
      <w:r>
        <w:t xml:space="preserve"> ed.,</w:t>
      </w:r>
      <w:r>
        <w:rPr>
          <w:rFonts w:cs="Times New Roman"/>
          <w:kern w:val="0"/>
          <w:lang w:bidi="yi-Hebr"/>
        </w:rPr>
        <w:t xml:space="preserve"> 1999), https://www.degruyter.com/document/doi/10.1515/9781503617698-005/html; Vladislav Valentinov, </w:t>
      </w:r>
      <w:r>
        <w:t>Wiener and</w:t>
      </w:r>
      <w:r>
        <w:rPr>
          <w:rFonts w:cs="Times New Roman"/>
          <w:i/>
          <w:iCs/>
          <w:kern w:val="0"/>
          <w:lang w:bidi="yi-Hebr"/>
        </w:rPr>
        <w:t xml:space="preserve"> Luhmann </w:t>
      </w:r>
      <w:r>
        <w:t>on Feedback</w:t>
      </w:r>
      <w:r>
        <w:rPr>
          <w:rFonts w:cs="Times New Roman"/>
          <w:i/>
          <w:iCs/>
          <w:kern w:val="0"/>
          <w:lang w:bidi="yi-Hebr"/>
        </w:rPr>
        <w:t xml:space="preserve">: </w:t>
      </w:r>
      <w:r>
        <w:t>From Complexity to Sustainability</w:t>
      </w:r>
      <w:r>
        <w:rPr>
          <w:rFonts w:cs="Times New Roman"/>
          <w:kern w:val="0"/>
          <w:lang w:bidi="yi-Hebr"/>
        </w:rPr>
        <w:t>, 46</w:t>
      </w:r>
      <w:r>
        <w:t xml:space="preserve"> Kybernetes</w:t>
      </w:r>
      <w:r w:rsidRPr="00A74209" w:rsidR="00A74209">
        <w:rPr>
          <w:rFonts w:cs="Times New Roman"/>
          <w:kern w:val="0"/>
          <w:lang w:bidi="yi-Hebr"/>
        </w:rPr>
        <w:t xml:space="preserve"> 386 (2017).</w:t>
      </w:r>
      <w:r>
        <w:fldChar w:fldCharType="end"/>
      </w:r>
    </w:p>
  </w:footnote>
  <w:footnote w:id="25">
    <w:p w:rsidRPr="00EF62D0" w:rsidR="00500853" w:rsidRDefault="00500853" w14:paraId="6A6710EA" w14:textId="2ADBF908">
      <w:pPr>
        <w:pStyle w:val="FootnoteText"/>
        <w:rPr>
          <w:rFonts w:ascii="Times New Roman" w:hAnsi="Times New Roman" w:cs="Times New Roman"/>
        </w:rPr>
      </w:pPr>
      <w:r w:rsidRPr="00EF62D0">
        <w:rPr>
          <w:rStyle w:val="FootnoteReference"/>
          <w:rFonts w:ascii="Times New Roman" w:hAnsi="Times New Roman" w:cs="Times New Roman"/>
        </w:rPr>
        <w:footnoteRef/>
      </w:r>
      <w:r w:rsidRPr="00EF62D0">
        <w:rPr>
          <w:rFonts w:ascii="Times New Roman" w:hAnsi="Times New Roman" w:cs="Times New Roman"/>
        </w:rPr>
        <w:t xml:space="preserve"> No todos los nodos cumplen esta función, es decir, la de albergar copias del libro mayor. Actualmente hay tres tipos de nodos en uso. Nodos completos: almacenan todo el historial de la cadena de bloques y validan todas las transacciones; nodos ligeros: almacenan solo datos parciales y dependen de los nodos completos para la verificación; nodos mineros: proponen y agregan nuevos bloques (aquí entra en juego la prueba de trabajo o de participación).</w:t>
      </w:r>
    </w:p>
  </w:footnote>
  <w:footnote w:id="26">
    <w:p w:rsidRPr="00EF62D0" w:rsidR="00E844CD" w:rsidRDefault="00E844CD" w14:paraId="022FC0F1" w14:textId="01DD6447">
      <w:pPr>
        <w:pStyle w:val="FootnoteText"/>
        <w:rPr>
          <w:rFonts w:ascii="Times New Roman" w:hAnsi="Times New Roman" w:cs="Times New Roman"/>
        </w:rPr>
      </w:pPr>
      <w:r w:rsidRPr="00EF62D0">
        <w:rPr>
          <w:rStyle w:val="FootnoteReference"/>
          <w:rFonts w:ascii="Times New Roman" w:hAnsi="Times New Roman" w:cs="Times New Roman"/>
        </w:rPr>
        <w:footnoteRef/>
      </w:r>
      <w:r>
        <w:rPr>
          <w:rFonts w:ascii="Times New Roman" w:hAnsi="Times New Roman" w:cs="Times New Roman"/>
        </w:rPr>
        <w:t xml:space="preserve"> </w:t>
      </w:r>
      <w:r>
        <w:t>Construido</w:t>
      </w:r>
      <w:r>
        <w:rPr>
          <w:rFonts w:ascii="Times New Roman" w:hAnsi="Times New Roman" w:cs="Times New Roman"/>
        </w:rPr>
        <w:t xml:space="preserve"> en </w:t>
      </w:r>
      <w:r>
        <w:t>torno al</w:t>
      </w:r>
      <w:r>
        <w:rPr>
          <w:rFonts w:ascii="Times New Roman" w:hAnsi="Times New Roman" w:cs="Times New Roman"/>
        </w:rPr>
        <w:t xml:space="preserve"> código hash</w:t>
      </w:r>
      <w:r>
        <w:t>:</w:t>
      </w:r>
      <w:r>
        <w:rPr>
          <w:rFonts w:ascii="Times New Roman" w:hAnsi="Times New Roman" w:cs="Times New Roman"/>
        </w:rPr>
        <w:t xml:space="preserve"> </w:t>
      </w:r>
      <w:r>
        <w:t>la</w:t>
      </w:r>
      <w:r>
        <w:rPr>
          <w:rFonts w:ascii="Times New Roman" w:hAnsi="Times New Roman" w:cs="Times New Roman"/>
        </w:rPr>
        <w:t xml:space="preserve"> huella digital de los conjuntos de datos de </w:t>
      </w:r>
      <w:r>
        <w:t>entrada.</w:t>
      </w:r>
    </w:p>
  </w:footnote>
  <w:footnote w:id="27">
    <w:p w:rsidR="00090631" w:rsidRDefault="00090631" w14:paraId="5102A79C" w14:textId="7F810C91">
      <w:pPr>
        <w:pStyle w:val="FootnoteText"/>
      </w:pPr>
      <w:r>
        <w:rPr>
          <w:rStyle w:val="FootnoteReference"/>
        </w:rPr>
        <w:footnoteRef/>
      </w:r>
      <w:r>
        <w:fldChar w:fldCharType="begin"/>
      </w:r>
      <w:r w:rsidR="00C04038">
        <w:instrText xml:space="preserve"> ADDIN ZOTERO_ITEM CSL_CITATION {"citationID":"OL4FSJL2","properties":{"formattedCitation":"J. Scott Brennen &amp; Daniel Kreiss, {\\i{}Digitalization}, {\\i{}in} {\\scaps The International Encyclopedia of Communication Theory and Philosophy} 1 (2016), https://onlinelibrary.wiley.com/doi/abs/10.1002/9781118766804.wbiect111.","plainCitation":"J. Scott Brennen &amp; Daniel Kreiss, Digitalization, in The International Encyclopedia of Communication Theory and Philosophy 1 (2016), https://onlinelibrary.wiley.com/doi/abs/10.1002/9781118766804.wbiect111.","noteIndex":14},"citationItems":[{"id":56,"uris":["http://zotero.org/users/20142566/items/EZNVMG5N"],"itemData":{"id":56,"type":"chapter","abstract":"“Digitization” and “digitalization” are two conceptual terms that are closely associated and often used interchangeably in a broad range of literatures. This entry considers each term in detail and argues that there is analytical value in explicitly making a clear distinction between them. The entry defines digitization as the material process of converting analog streams of information into digital bits. It defines digitalization as the way many domains of social life are restructured around digital communication and media infrastructures.","container-title":"The International Encyclopedia of Communication Theory and Philosophy","DOI":"10.1002/9781118766804.wbiect111","ISBN":"978-1-118-76680-4","language":"en","license":"Copyright © 2016 John Wiley &amp; Sons, Inc.","note":"_eprint: https://onlinelibrary.wiley.com/doi/pdf/10.1002/9781118766804.wbiect111\nDOI: 10.1002/9781118766804.wbiect111","page":"1-11","publisher":"John Wiley &amp; Sons, Ltd","source":"Wiley Online Library","title":"Digitalization","URL":"https://onlinelibrary.wiley.com/doi/abs/10.1002/9781118766804.wbiect111","author":[{"family":"Brennen","given":"J. Scott"},{"family":"Kreiss","given":"Daniel"}],"accessed":{"date-parts":[["2026",4,6]]},"issued":{"date-parts":[["2016"]]}}}],"schema":"https://github.com/citation-style-language/schema/raw/master/csl-citation.json"} </w:instrText>
      </w:r>
      <w:r>
        <w:fldChar w:fldCharType="separate"/>
      </w:r>
      <w:r w:rsidRPr="00090631">
        <w:rPr>
          <w:rFonts w:cs="Times New Roman"/>
          <w:kern w:val="0"/>
          <w:lang w:bidi="yi-Hebr"/>
        </w:rPr>
        <w:t xml:space="preserve"> J. Scott Brennen y Daniel Kreiss, </w:t>
      </w:r>
      <w:r>
        <w:t>Digitalization</w:t>
      </w:r>
      <w:r>
        <w:rPr>
          <w:rFonts w:cs="Times New Roman"/>
          <w:kern w:val="0"/>
          <w:lang w:bidi="yi-Hebr"/>
        </w:rPr>
        <w:t>,</w:t>
      </w:r>
      <w:r>
        <w:rPr>
          <w:rFonts w:cs="Times New Roman"/>
          <w:i/>
          <w:iCs/>
          <w:kern w:val="0"/>
          <w:lang w:bidi="yi-Hebr"/>
        </w:rPr>
        <w:t xml:space="preserve"> en </w:t>
      </w:r>
      <w:r w:rsidRPr="00090631">
        <w:rPr>
          <w:rFonts w:cs="Times New Roman"/>
          <w:smallCaps/>
          <w:kern w:val="0"/>
          <w:lang w:bidi="yi-Hebr"/>
        </w:rPr>
        <w:t xml:space="preserve">The International Encyclopedia of Communication Theory and Philosophy</w:t>
      </w:r>
      <w:r w:rsidRPr="00090631">
        <w:rPr>
          <w:rFonts w:cs="Times New Roman"/>
          <w:kern w:val="0"/>
          <w:lang w:bidi="yi-Hebr"/>
        </w:rPr>
        <w:t xml:space="preserve"> 1 (2016), https://onlinelibrary.wiley.com/doi/abs/10.1002/9781118766804.wbiect111.</w:t>
      </w:r>
      <w:r>
        <w:fldChar w:fldCharType="end"/>
      </w:r>
    </w:p>
  </w:footnote>
  <w:footnote w:id="28">
    <w:p w:rsidRPr="00EF62D0" w:rsidR="000F71CD" w:rsidP="000F71CD" w:rsidRDefault="000F71CD" w14:paraId="6330810B" w14:textId="2539FFC4">
      <w:pPr>
        <w:pStyle w:val="FootnoteText"/>
        <w:rPr>
          <w:rFonts w:ascii="Times New Roman" w:hAnsi="Times New Roman" w:cs="Times New Roman"/>
        </w:rPr>
      </w:pPr>
      <w:r w:rsidRPr="00EF62D0">
        <w:rPr>
          <w:rStyle w:val="FootnoteReference"/>
          <w:rFonts w:ascii="Times New Roman" w:hAnsi="Times New Roman" w:cs="Times New Roman"/>
        </w:rPr>
        <w:footnoteRef/>
      </w:r>
      <w:r w:rsidRPr="00EF62D0">
        <w:rPr>
          <w:rFonts w:ascii="Times New Roman" w:hAnsi="Times New Roman" w:cs="Times New Roman"/>
        </w:rPr>
        <w:t xml:space="preserve"> Una salvedad al respecto: la mayor parte del software de blockchain está </w:t>
      </w:r>
      <w:r w:rsidRPr="00EF62D0" w:rsidR="00DD59B7">
        <w:rPr>
          <w:rFonts w:ascii="Times New Roman" w:hAnsi="Times New Roman" w:cs="Times New Roman"/>
        </w:rPr>
        <w:t xml:space="preserve">escrito por humanos</w:t>
      </w:r>
      <w:r w:rsidRPr="00EF62D0">
        <w:rPr>
          <w:rFonts w:ascii="Times New Roman" w:hAnsi="Times New Roman" w:cs="Times New Roman"/>
        </w:rPr>
        <w:t xml:space="preserve">; los protocolos (Bitcoin Core/Ethereum, Solana) y los lenguajes (Solidity, Rust) fueron diseñados e implementados por humanos. Por lo tanto, es posible suponer que la base misma de la cadena de bloques es muy humana. Sin embargo, ya existen partes del ecosistema que cuentan con la asistencia de la IA —plantillas de contratos inteligentes, verificación formal y compiladores—, código verificado por máquinas para demostrar propiedades de seguridad, etc.</w:t>
      </w:r>
    </w:p>
  </w:footnote>
  <w:footnote w:id="29">
    <w:p w:rsidRPr="00EF62D0" w:rsidR="00FE0FF3" w:rsidP="00FE0FF3" w:rsidRDefault="00FE0FF3" w14:paraId="19C9A3DA" w14:textId="3F64B6DB">
      <w:pPr>
        <w:pStyle w:val="FootnoteText"/>
        <w:rPr>
          <w:rFonts w:ascii="Times New Roman" w:hAnsi="Times New Roman" w:cs="Times New Roman"/>
        </w:rPr>
      </w:pPr>
      <w:r w:rsidRPr="00EF62D0">
        <w:rPr>
          <w:rStyle w:val="FootnoteReference"/>
          <w:rFonts w:ascii="Times New Roman" w:hAnsi="Times New Roman" w:cs="Times New Roman"/>
        </w:rPr>
        <w:footnoteRef/>
      </w:r>
      <w:r>
        <w:rPr>
          <w:rFonts w:ascii="Times New Roman" w:hAnsi="Times New Roman" w:cs="Times New Roman"/>
        </w:rPr>
        <w:t xml:space="preserve"> En un orden aproximado de legibilidad humana decreciente: (1) código fuente (p. ej., Python, Solidity, Java); (2) código ensamblador (p. ej., MOV, ADD), que las personas capacitadas pueden leer con esfuerzo; (3) código de bytes para máquinas virtuales (p. ej., código de bytes de JVM o EVM); (4) código máquina, las instrucciones binarias del conjunto de instrucciones de un procesador; (5) microcódigo, mediante el cual algunos procesadores implementan sus propias instrucciones; y (6) lenguajes de descripción de hardware (p. ej., Verilog, VHDL), que describen los propios circuitos y se compilan en silicio en el momento del diseño, en lugar de ejecutarse en tiempo de ejecución. La Parte V, </w:t>
      </w:r>
      <w:r>
        <w:rPr>
          <w:rFonts w:ascii="Times New Roman" w:hAnsi="Times New Roman" w:cs="Times New Roman"/>
          <w:i/>
          <w:iCs/>
        </w:rPr>
        <w:t xml:space="preserve">más adelante</w:t>
      </w:r>
      <w:r>
        <w:rPr>
          <w:rFonts w:ascii="Times New Roman" w:hAnsi="Times New Roman" w:cs="Times New Roman"/>
        </w:rPr>
        <w:t xml:space="preserve">, agrupa estos elementos en cinco capas.</w:t>
      </w:r>
    </w:p>
  </w:footnote>
  <w:footnote w:id="30">
    <w:p w:rsidRPr="00E75B3D" w:rsidR="00DB674A" w:rsidRDefault="00DB674A" w14:paraId="21B7852B" w14:textId="562010E0">
      <w:pPr>
        <w:pStyle w:val="FootnoteText"/>
      </w:pPr>
      <w:r>
        <w:rPr>
          <w:rStyle w:val="FootnoteReference"/>
        </w:rPr>
        <w:footnoteRef/>
      </w:r>
      <w:r>
        <w:fldChar w:fldCharType="begin"/>
      </w:r>
      <w:r w:rsidRPr="008628B0" w:rsidR="005F49D5">
        <w:instrText xml:space="preserve"> ADDIN ZOTERO_ITEM CSL_CITATION {"citationID":"QrhseLBk","properties":{"formattedCitation":"Georg Trogemann, {\\i{}Code und Maschine}, {\\i{}in} {\\scaps Code: Zwischen Operation und Narration} 41 (Andrea Gleiniger &amp; Georg Vrachliotis eds., 2012), https://www.degruyterbrill.com/document/doi/10.1515/9783034609333.41/html; Karen Yeung, {\\i{}Algorithmic Regulation: A Critical Interrogation}, 12 {\\scaps Regul. Gov.} 505 (2018).","plainCitation":"Georg Trogemann, Code und Maschine, in Code: Zwischen Operation und Narration 41 (Andrea Gleiniger &amp; Georg Vrachliotis eds., 2012), https://www.degruyterbrill.com/document/doi/10.1515/9783034609333.41/html; Karen Yeung, Algorithmic Regulation: A Critical Interrogation, 12 Regul. Gov. 505 (2018).","noteIndex":17},"citationItems":[{"id":124,"uris":["http://zotero.org/users/20142566/items/QSSGD74Q"],"itemData":{"id":124,"type":"chapter","container-title":"Code: Zwischen Operation und Narration","ISBN":"978-3-0346-0933-3","language":"de","page":"41-54","publisher":"Birkhäuser","source":"www.degruyterbrill.com","title":"Code und Maschine","URL":"https://www.degruyterbrill.com/document/doi/10.1515/9783034609333.41/html","author":[{"family":"Trogemann","given":"Georg"}],"editor":[{"family":"Gleiniger","given":"Andrea"},{"family":"Vrachliotis","given":"Georg"}],"accessed":{"date-parts":[["2026",4,13]]},"issued":{"date-parts":[["2012",12,13]]}}},{"id":18,"uris":["http://zotero.org/users/20142566/items/VEDAI87F"],"itemData":{"id":18,"type":"ar</w:instrText>
      </w:r>
      <w:r w:rsidRPr="008628B0" w:rsidR="005F49D5">
        <w:rPr>
          <w:lang w:val="de-DE"/>
        </w:rPr>
        <w:instrText xml:space="preserve">ticle-journal","abstract":"Innovations in networked digital communications technologies, including the rise of ‘Big Data’, ubiquitous computing and cloud storage systems, may be giving rise to a new system of social ordering known as algorithmic regulation. Algorithmic regulation refers to decision-making systems that regulate a domain of activity in order to manage risk or alter behaviour through continual computational generation of knowledge by systematically collecting data (in real time on a continuous basis) emitted directly from numerous dynamic components pertaining to the regulated environment in order to identify and, if necessary, automatically refine (or prompt refinement of) the system’s operations to attain a pre-specified goal.","container-title":"Regulation &amp; Governance","DOI":"10.1111/rego.12158","ISSN":"1748-5983, 1748-5991","issue":"4","journalAbbreviation":"Regulation &amp; Governance","language":"en","license":"http://onlinelibrary.wiley.com/termsAndConditions#vor","page":"505-523","source":"DOI.org (Crossref)","title":"Algorithmic Regulation: A Critical Interrogation","title-short":"Algorithmic regulation","volume":"12","author":[{"family":"Yeung","given":"Karen"}],"issued":{"date-parts":[["2018",12]]}}}],"schema":"https://github.com/citation-style-language/schema/raw/master/csl-citation.json"} </w:instrText>
      </w:r>
      <w:r>
        <w:fldChar w:fldCharType="separate"/>
      </w:r>
      <w:r w:rsidRPr="008628B0" w:rsidR="005F49D5">
        <w:rPr>
          <w:rFonts w:cs="Times New Roman"/>
          <w:kern w:val="0"/>
          <w:lang w:val="de-DE"/>
        </w:rPr>
        <w:t xml:space="preserve"> Georg Trogemann, </w:t>
      </w:r>
      <w:r>
        <w:t>Code</w:t>
      </w:r>
      <w:r>
        <w:rPr>
          <w:rFonts w:cs="Times New Roman"/>
          <w:i/>
          <w:iCs/>
          <w:kern w:val="0"/>
          <w:lang w:val="de-DE"/>
        </w:rPr>
        <w:t xml:space="preserve"> und Maschine</w:t>
      </w:r>
      <w:r>
        <w:rPr>
          <w:rFonts w:cs="Times New Roman"/>
          <w:kern w:val="0"/>
          <w:lang w:val="de-DE"/>
        </w:rPr>
        <w:t>,</w:t>
      </w:r>
      <w:r>
        <w:rPr>
          <w:rFonts w:cs="Times New Roman"/>
          <w:i/>
          <w:iCs/>
          <w:kern w:val="0"/>
          <w:lang w:val="de-DE"/>
        </w:rPr>
        <w:t xml:space="preserve"> en </w:t>
      </w:r>
      <w:r w:rsidRPr="008628B0" w:rsidR="005F49D5">
        <w:rPr>
          <w:rFonts w:cs="Times New Roman"/>
          <w:smallCaps/>
          <w:kern w:val="0"/>
          <w:lang w:val="de-DE"/>
        </w:rPr>
        <w:t xml:space="preserve">Code: Zwischen Operation und Narration</w:t>
      </w:r>
      <w:r w:rsidRPr="008628B0" w:rsidR="005F49D5">
        <w:rPr>
          <w:rFonts w:cs="Times New Roman"/>
          <w:kern w:val="0"/>
          <w:lang w:val="de-DE"/>
        </w:rPr>
        <w:t xml:space="preserve"> 41 (Andrea Gleiniger y Georg Vrachliotis, </w:t>
      </w:r>
      <w:r w:rsidRPr="008628B0" w:rsidR="005F49D5">
        <w:rPr>
          <w:rFonts w:cs="Times New Roman"/>
          <w:kern w:val="0"/>
          <w:lang w:val="de-DE"/>
        </w:rPr>
        <w:t xml:space="preserve">eds</w:t>
      </w:r>
      <w:r w:rsidRPr="008628B0" w:rsidR="005F49D5">
        <w:rPr>
          <w:rFonts w:cs="Times New Roman"/>
          <w:kern w:val="0"/>
          <w:lang w:val="de-DE"/>
        </w:rPr>
        <w:t xml:space="preserve">., 2012), </w:t>
      </w:r>
      <w:r w:rsidRPr="005F49D5" w:rsidR="005F49D5">
        <w:rPr>
          <w:rFonts w:cs="Times New Roman"/>
          <w:kern w:val="0"/>
          <w:lang w:val="de-DE"/>
        </w:rPr>
        <w:t xml:space="preserve">https://www.degruyterbrill.com/document/doi/10.1515/9783034609333.41/html; Karen Yeung, </w:t>
      </w:r>
      <w:r>
        <w:t>Algorithmic</w:t>
      </w:r>
      <w:r>
        <w:rPr>
          <w:rFonts w:cs="Times New Roman"/>
          <w:i/>
          <w:iCs/>
          <w:kern w:val="0"/>
          <w:lang w:val="de-DE"/>
        </w:rPr>
        <w:t xml:space="preserve"> </w:t>
      </w:r>
      <w:r>
        <w:rPr>
          <w:rFonts w:cs="Times New Roman"/>
          <w:i/>
          <w:iCs/>
          <w:kern w:val="0"/>
          <w:lang w:val="de-DE"/>
        </w:rPr>
        <w:t xml:space="preserve">Regulation: A Critical </w:t>
      </w:r>
      <w:r>
        <w:t>Interrogation</w:t>
      </w:r>
      <w:r>
        <w:rPr>
          <w:rFonts w:cs="Times New Roman"/>
          <w:kern w:val="0"/>
          <w:lang w:val="de-DE"/>
        </w:rPr>
        <w:t>, 12</w:t>
      </w:r>
      <w:r>
        <w:t xml:space="preserve"> </w:t>
      </w:r>
      <w:r>
        <w:rPr>
          <w:rFonts w:cs="Times New Roman"/>
          <w:smallCaps/>
          <w:kern w:val="0"/>
          <w:lang w:val="de-DE"/>
        </w:rPr>
        <w:t>Regul</w:t>
      </w:r>
      <w:r>
        <w:rPr>
          <w:rFonts w:cs="Times New Roman"/>
          <w:smallCaps/>
          <w:kern w:val="0"/>
          <w:lang w:val="de-DE"/>
        </w:rPr>
        <w:t>.</w:t>
      </w:r>
      <w:r>
        <w:t xml:space="preserve"> &amp; </w:t>
      </w:r>
      <w:r>
        <w:rPr>
          <w:rFonts w:cs="Times New Roman"/>
          <w:smallCaps/>
          <w:kern w:val="0"/>
        </w:rPr>
        <w:t>Gov.</w:t>
      </w:r>
      <w:r w:rsidRPr="005F49D5" w:rsidR="005F49D5">
        <w:rPr>
          <w:rFonts w:cs="Times New Roman"/>
          <w:kern w:val="0"/>
        </w:rPr>
        <w:t xml:space="preserve"> 505 (2018).</w:t>
      </w:r>
      <w:r>
        <w:fldChar w:fldCharType="end"/>
      </w:r>
    </w:p>
  </w:footnote>
  <w:footnote w:id="31">
    <w:p w:rsidR="00F26AF4" w:rsidRDefault="00F26AF4" w14:paraId="45165FE0" w14:textId="42F0865D">
      <w:pPr>
        <w:pStyle w:val="FootnoteText"/>
      </w:pPr>
      <w:r>
        <w:rPr>
          <w:rStyle w:val="FootnoteReference"/>
        </w:rPr>
        <w:footnoteRef/>
      </w:r>
      <w:r>
        <w:fldChar w:fldCharType="begin"/>
      </w:r>
      <w:r w:rsidR="00C04038">
        <w:instrText xml:space="preserve"> ADDIN ZOTERO_ITEM CSL_CITATION {"citationID":"fv5iM9vt","properties":{"formattedCitation":"{\\scaps Jan M. Broekman &amp; Larry Cat\\uc0\\u225{} Backer}, {\\scaps Lawyers Making Meaning: The Semiotics of Law in Legal Education II} 93 (2013).","plainCitation":"Jan M. Broekman &amp; Larry Catá Backer, Lawyers Making Meaning: The Semiotics of Law in Legal Education II 93 (2013).","noteIndex":18},"citationItems":[{"id":123,"uris":["http://zotero.org/users/20142566/items/BJJU63TZ"],"itemData":{"id":123,"type":"book","call-number":"K213 .B753 2013","ISBN":"978-94-007-5457-7","number-of-pages":"257","publisher":"Springer","publisher-place":"Dordrecht ; New York","source":"Library of Congress ISBN","title":"Lawyers making meaning: the semiotics of law in legal education II","title-short":"Lawyers making meaning","author":[{"family":"Broekman","given":"Jan M."},{"family":"Backer","given":"Larry Catá"}],"issued":{"date-parts":[["2013"]]}},"locator":"93","label":"page"}],"schema":"https://github.com/citation-style-language/schema/raw/master/csl-citation.json"} </w:instrText>
      </w:r>
      <w:r>
        <w:fldChar w:fldCharType="separate"/>
      </w:r>
      <w:r w:rsidRPr="00E7707C" w:rsidR="00E7707C">
        <w:rPr>
          <w:rFonts w:cs="Times New Roman"/>
          <w:smallCaps/>
          <w:kern w:val="0"/>
          <w:lang w:bidi="yi-Hebr"/>
        </w:rPr>
        <w:t xml:space="preserve"> Jan M. Broekman y Larry Catá Backer</w:t>
      </w:r>
      <w:r>
        <w:rPr>
          <w:rFonts w:cs="Times New Roman"/>
          <w:kern w:val="0"/>
          <w:lang w:bidi="yi-Hebr"/>
        </w:rPr>
        <w:t>,</w:t>
      </w:r>
      <w:r>
        <w:rPr>
          <w:rFonts w:cs="Times New Roman"/>
          <w:smallCaps/>
          <w:kern w:val="0"/>
          <w:lang w:bidi="yi-Hebr"/>
        </w:rPr>
        <w:t xml:space="preserve"> </w:t>
      </w:r>
      <w:r>
        <w:t>Lawyers Making Meaning</w:t>
      </w:r>
      <w:r>
        <w:rPr>
          <w:rFonts w:cs="Times New Roman"/>
          <w:smallCaps/>
          <w:kern w:val="0"/>
          <w:lang w:bidi="yi-Hebr"/>
        </w:rPr>
        <w:t xml:space="preserve">: </w:t>
      </w:r>
      <w:r>
        <w:t>The Semiotics of Law in Legal Education</w:t>
      </w:r>
      <w:r>
        <w:rPr>
          <w:rFonts w:cs="Times New Roman"/>
          <w:smallCaps/>
          <w:kern w:val="0"/>
          <w:lang w:bidi="yi-Hebr"/>
        </w:rPr>
        <w:t xml:space="preserve"> II</w:t>
      </w:r>
      <w:r w:rsidRPr="00E7707C" w:rsidR="00E7707C">
        <w:rPr>
          <w:rFonts w:cs="Times New Roman"/>
          <w:kern w:val="0"/>
          <w:lang w:bidi="yi-Hebr"/>
        </w:rPr>
        <w:t xml:space="preserve"> 93 (2013).</w:t>
      </w:r>
      <w:r>
        <w:fldChar w:fldCharType="end"/>
      </w:r>
    </w:p>
  </w:footnote>
  <w:footnote w:id="32">
    <w:p w:rsidRPr="00303F19" w:rsidR="00303F19" w:rsidP="00303F19" w:rsidRDefault="00303F19" w14:paraId="7A9FE3AA" w14:textId="42B858E5">
      <w:pPr>
        <w:pStyle w:val="FootnoteText"/>
      </w:pPr>
      <w:r>
        <w:rPr>
          <w:rStyle w:val="FootnoteReference"/>
        </w:rPr>
        <w:footnoteRef/>
      </w:r>
      <w:r>
        <w:t xml:space="preserve"> Véase, por ejemplo, </w:t>
      </w:r>
      <w:r w:rsidR="003C496D">
        <w:t xml:space="preserve">Silvia </w:t>
      </w:r>
      <w:r w:rsidR="003C496D">
        <w:t xml:space="preserve">Semenzin</w:t>
      </w:r>
      <w:r w:rsidR="003C496D">
        <w:t xml:space="preserve">, </w:t>
      </w:r>
      <w:r>
        <w:t>‘Blockchain</w:t>
      </w:r>
      <w:r>
        <w:t xml:space="preserve"> for </w:t>
      </w:r>
      <w:r>
        <w:t>good’:</w:t>
      </w:r>
      <w:r>
        <w:t xml:space="preserve"> Exploring the notion of social good inside the blockchain scene</w:t>
      </w:r>
      <w:r w:rsidR="003C496D">
        <w:t xml:space="preserve">, 10(2) </w:t>
      </w:r>
      <w:r w:rsidRPr="004E3A22" w:rsidR="003C496D">
        <w:rPr>
          <w:smallCaps/>
        </w:rPr>
        <w:t xml:space="preserve">Big Data &amp; Society </w:t>
      </w:r>
      <w:r w:rsidR="003C496D">
        <w:t xml:space="preserve">(2023); disponible en [</w:t>
      </w:r>
      <w:r w:rsidRPr="003C496D" w:rsidR="003C496D">
        <w:t xml:space="preserve">https://journals.sagepub.com/doi/epub/10.1177/20539517231205479</w:t>
      </w:r>
      <w:r w:rsidR="003C496D">
        <w:t xml:space="preserve">];</w:t>
      </w:r>
      <w:r w:rsidRPr="004E3A22" w:rsidR="003C496D">
        <w:rPr>
          <w:rFonts w:ascii="Cambria" w:hAnsi="Cambria"/>
        </w:rPr>
        <w:t xml:space="preserve"> </w:t>
      </w:r>
      <w:r>
        <w:t xml:space="preserve">Melinda Dooley y Anna Comas-Quinn, </w:t>
      </w:r>
      <w:r>
        <w:t>Access to Technology and Social Justice</w:t>
      </w:r>
      <w:r>
        <w:t>, en</w:t>
      </w:r>
      <w:r>
        <w:rPr>
          <w:smallCaps/>
        </w:rPr>
        <w:t xml:space="preserve"> </w:t>
      </w:r>
      <w:r>
        <w:t>Technology-Mediated Language Teaching</w:t>
      </w:r>
      <w:r>
        <w:rPr>
          <w:smallCaps/>
        </w:rPr>
        <w:t xml:space="preserve">: </w:t>
      </w:r>
      <w:r>
        <w:t>From Social Justice to Artificial Intelligence 21-42</w:t>
      </w:r>
      <w:r>
        <w:t xml:space="preserve"> (Javier </w:t>
      </w:r>
      <w:r w:rsidRPr="00303F19">
        <w:t xml:space="preserve">Muñoz-Basols</w:t>
      </w:r>
      <w:r w:rsidRPr="00303F19">
        <w:t xml:space="preserve">, </w:t>
      </w:r>
      <w:r>
        <w:t>Maria</w:t>
      </w:r>
      <w:r>
        <w:t xml:space="preserve"> </w:t>
      </w:r>
      <w:r w:rsidRPr="00303F19">
        <w:t xml:space="preserve">Fuertes Gutiérrez </w:t>
      </w:r>
      <w:r w:rsidRPr="00303F19">
        <w:t xml:space="preserve">y </w:t>
      </w:r>
      <w:r>
        <w:t xml:space="preserve">Luis </w:t>
      </w:r>
      <w:r w:rsidRPr="00303F19">
        <w:t xml:space="preserve">Cerezo, eds.</w:t>
      </w:r>
      <w:r>
        <w:t xml:space="preserve">, </w:t>
      </w:r>
      <w:r w:rsidR="006E6DC9">
        <w:t xml:space="preserve">Multilingual </w:t>
      </w:r>
      <w:r>
        <w:t>Matters, 2025</w:t>
      </w:r>
      <w:r>
        <w:t>).</w:t>
      </w:r>
    </w:p>
  </w:footnote>
  <w:footnote w:id="33">
    <w:p w:rsidR="006924C4" w:rsidRDefault="006924C4" w14:paraId="0B2834E9" w14:textId="10D57962">
      <w:pPr>
        <w:pStyle w:val="FootnoteText"/>
      </w:pPr>
      <w:r>
        <w:rPr>
          <w:rStyle w:val="FootnoteReference"/>
        </w:rPr>
        <w:footnoteRef/>
      </w:r>
      <w:r>
        <w:fldChar w:fldCharType="begin"/>
      </w:r>
      <w:r w:rsidR="00C04038">
        <w:instrText xml:space="preserve"> ADDIN ZOTERO_ITEM CSL_CITATION {"citationID":"k6FTTrHr","properties":{"formattedCitation":"Karl K\\uc0\\u246{}ssler, {\\i{}Federalism}, {\\i{}in} {\\scaps Constitutional Interpretation} 201 (Sujit Choudhry, Catherine O\\uc0\\u8217{}Regan, &amp; Carlos Bernal-Pulido eds., 2025), https://www.elgaronline.com/view/book/9781800371743/chapter10.xml; See also Eug\\uc0\\u233{}nie Brouillet &amp; Tom Mullen, {\\i{}Constitutional Jurisprudence on Federalism and Devolution in UK and Canada}, {\\i{}in} {\\scaps Constitutional Politics and the Territorial Question in Canada and the United Kingdom} 47 (Michael Keating &amp; Guy Laforest eds., 2018), http://link.springer.com/10.1007/978-3-319-58074-6_3.","plainCitation":"Karl Kössler, Federalism, in Constitutional Interpretation 201 (Sujit Choudhry, Catherine O’Regan, &amp; Carlos Bernal-Pulido eds., 2025), https://www.elgaronline.com/view/book/9781800371743/chapter10.xml; See also Eugénie Brouillet &amp; Tom Mullen, Constitutional Jurisprudence on Federalism and Devolution in UK and Canada, in Constitutional Politics and the Territorial Question in Canada and the United Kingdom 47 (Michael Keating &amp; Guy Laforest eds., 2018), http://link.springer.com/10.1007/978-3-319-58074-6_3.","noteIndex":19},"citationItems":[{"id":122,"uris":["http://zotero.org/users/20142566/items/75QATJN3"],"itemData":{"id":122,"type":"chapter","container-title":"Constitutional Interpretation","DOI":"10.4337/9781800371743.00020","ISBN":"978-1-80037-174-3","page":"201-219","publisher":"Edward Elgar Publishing","source":"DOI.org (Crossref)","title":"Federalism","URL":"https://www.elgaronline.com/view/book/9781800371743/chapter10.xml","editor":[{"family":"Choudhry","given":"Sujit"},{"family":"O’Regan","given":"Catherine"},{"family":"Bernal-Pulido","given":"Carlos"}],"author":[{"family":"Kössler","given":"Karl"}],"accessed":{"date-parts":[["2026",4,13]]},"issued":{"date-parts":[["2025",12,4]]}}},{"id":121,"uris":["http://zotero.org/users/20142566/items/TLE3LH8L"],"itemData":{"id":121,"type":"chapter","container-title":"Constitutional Politics and the Territorial Question in Canada and the United Kingdom","DOI":"10.1007/978-3-319-58074-6_3","ISBN":"978-3-319-58073-9","language":"en","page":"47-77","publisher":"Springer International Publishing","publisher-place":"Cham","source":"DOI.org (Crossref)","title":"Constitutional Jurisprudence on Federalism and Devolution in UK and Canada","URL":"http://link.springer.com/10.1007/978-3-319-58074-6_3","editor":[{"family":"Keating","given":"Michael"},{"family":"Laforest","given":"Guy"}],"author":[{"family":"Brouillet","given":"Eugénie"},{"family":"Mullen","given":"Tom"}],"accessed":{"date-parts":[["2026",4,13]]},"issued":{"date-parts":[["2018"]]}},"prefix":"See also"}],"schema":"https://github.com/citation-style-language/schema/raw/master/csl-citation.json"} </w:instrText>
      </w:r>
      <w:r>
        <w:fldChar w:fldCharType="separate"/>
      </w:r>
      <w:r w:rsidRPr="006924C4">
        <w:rPr>
          <w:rFonts w:cs="Times New Roman"/>
          <w:kern w:val="0"/>
          <w:lang w:bidi="yi-Hebr"/>
        </w:rPr>
        <w:t xml:space="preserve"> Karl Kössler, </w:t>
      </w:r>
      <w:r>
        <w:t>Federalism</w:t>
      </w:r>
      <w:r>
        <w:rPr>
          <w:rFonts w:cs="Times New Roman"/>
          <w:i/>
          <w:iCs/>
          <w:kern w:val="0"/>
          <w:lang w:bidi="yi-Hebr"/>
        </w:rPr>
        <w:t xml:space="preserve">, en </w:t>
      </w:r>
      <w:r>
        <w:t>Constitutional Interpretation</w:t>
      </w:r>
      <w:r>
        <w:rPr>
          <w:rFonts w:cs="Times New Roman"/>
          <w:kern w:val="0"/>
          <w:lang w:bidi="yi-Hebr"/>
        </w:rPr>
        <w:t xml:space="preserve"> 201 (Sujit Choudhry, Catherine O’Regan y Carlos Bernal-Pulido, eds., 2025), https://www.elgaronline.com/view/book/9781800371743/chapter10.xml; </w:t>
      </w:r>
      <w:r>
        <w:t>véase</w:t>
      </w:r>
      <w:r>
        <w:rPr>
          <w:rFonts w:cs="Times New Roman"/>
          <w:kern w:val="0"/>
          <w:lang w:bidi="yi-Hebr"/>
        </w:rPr>
        <w:t xml:space="preserve"> también Eugénie Brouillet y Tom Mullen, </w:t>
      </w:r>
      <w:r>
        <w:t>Constitutional Jurisprudence on Federalism and Devolution in UK and Canada, en Constitutional Politics and the Territorial Question in Canada and the United Kingdom</w:t>
      </w:r>
      <w:r>
        <w:rPr>
          <w:rFonts w:cs="Times New Roman"/>
          <w:kern w:val="0"/>
          <w:lang w:bidi="yi-Hebr"/>
        </w:rPr>
        <w:t xml:space="preserve"> 47 (Michael Keating y Guy Laforest, eds., 2018), http://link.springer.com/10.1007/978-3-319-58074-6_3.</w:t>
      </w:r>
      <w:r>
        <w:fldChar w:fldCharType="end"/>
      </w:r>
    </w:p>
  </w:footnote>
  <w:footnote w:id="34">
    <w:p w:rsidR="00962F69" w:rsidRDefault="00962F69" w14:paraId="47ED40DC" w14:textId="6239CB9B">
      <w:pPr>
        <w:pStyle w:val="FootnoteText"/>
      </w:pPr>
      <w:r>
        <w:rPr>
          <w:rStyle w:val="FootnoteReference"/>
        </w:rPr>
        <w:footnoteRef/>
      </w:r>
      <w:r>
        <w:fldChar w:fldCharType="begin"/>
      </w:r>
      <w:r w:rsidR="00C04038">
        <w:instrText xml:space="preserve"> ADDIN ZOTERO_ITEM CSL_CITATION {"citationID":"U6XczJAQ","properties":{"formattedCitation":"Carlo Panara, {\\i{}Subsidiarity v. Autonomy in the EU}, 28 {\\scaps Eur. Public Law} (2022), https://kluwerlawonline.com/api/Product/CitationPDFURL?file=Journals\\\\EURO\\\\EURO2022014.pdf.","plainCitation":"Carlo Panara, Subsidiarity v. Autonomy in the EU, 28 Eur. Public Law (2022), https://kluwerlawonline.com/api/Product/CitationPDFURL?file=Journals\\EURO\\EURO2022014.pdf.","noteIndex":20},"citationItems":[{"id":120,"uris":["http://zotero.org/users/20142566/items/S4ZK9BGS"],"itemData":{"id":120,"type":"article-journal","abstract":"&lt;p&gt;&lt;i&gt;The principle of subsidiarity as construed by the Court of Justice and the Advocates General (AG) is not an autonomy clause. Article 5(3) Treaty on the European Union (TEU) aims to promote the efficiency of governance rather than the autonomy of the Member States (MSs) and of the subnational governments. Although a number of scholars emphasize the potential role of federal proportionality for the protection of the autonomy, the effectiveness of this principle is limited in practice due to the Court’s judicial self-restraint. In the EU the autonomy of national and subnational governments is protected primarily by the legal bases in the Treaty. The reasoning of the Court to delimit these legal bases largely overlaps with and absorbs considerations of subsidiarity that acquire a merely ancillary role.&lt;/i&gt;&lt;br&gt;&lt;/p&gt;","container-title":"European Public Law","ISSN":"1354-3725","issue":"2","language":"en","source":"kluwerlawonline.com","title":"Subsidiarity v. Autonomy in the EU","URL":"https://kluwerlawonline.com/api/Product/CitationPDFURL?file=Journals\\EURO\\EURO2022014.pdf","volume":"28","author":[{"family":"Panara","given":"Carlo"}],"accessed":{"date-parts":[["2026",4,13]]},"issued":{"date-parts":[["2022",5,1]]}}}],"schema":"https://github.com/citation-style-language/schema/raw/master/csl-citation.json"} </w:instrText>
      </w:r>
      <w:r>
        <w:fldChar w:fldCharType="separate"/>
      </w:r>
      <w:r w:rsidRPr="00962F69">
        <w:rPr>
          <w:rFonts w:cs="Times New Roman"/>
          <w:kern w:val="0"/>
          <w:lang w:bidi="yi-Hebr"/>
        </w:rPr>
        <w:t xml:space="preserve"> Carlo Panara, </w:t>
      </w:r>
      <w:r>
        <w:t>Subsidiarity v. Autonomy in the EU</w:t>
      </w:r>
      <w:r>
        <w:rPr>
          <w:rFonts w:cs="Times New Roman"/>
          <w:kern w:val="0"/>
          <w:lang w:bidi="yi-Hebr"/>
        </w:rPr>
        <w:t>, 28</w:t>
      </w:r>
      <w:r>
        <w:t xml:space="preserve"> Eur. Public Law</w:t>
      </w:r>
      <w:r>
        <w:rPr>
          <w:rFonts w:cs="Times New Roman"/>
          <w:kern w:val="0"/>
          <w:lang w:bidi="yi-Hebr"/>
        </w:rPr>
        <w:t xml:space="preserve"> </w:t>
      </w:r>
      <w:r w:rsidRPr="00962F69">
        <w:rPr>
          <w:rFonts w:cs="Times New Roman"/>
          <w:kern w:val="0"/>
          <w:lang w:bidi="yi-Hebr"/>
        </w:rPr>
        <w:t xml:space="preserve">(2022), https://kluwerlawonline.com/api/Product/CitationPDFURL?file=Journals\EURO\EURO2022014.pdf.</w:t>
      </w:r>
      <w:r>
        <w:fldChar w:fldCharType="end"/>
      </w:r>
    </w:p>
  </w:footnote>
  <w:footnote w:id="35">
    <w:p w:rsidR="006D42DC" w:rsidRDefault="006D42DC" w14:paraId="345FD3C9" w14:textId="19014A95">
      <w:pPr>
        <w:pStyle w:val="FootnoteText"/>
      </w:pPr>
      <w:r>
        <w:rPr>
          <w:rStyle w:val="FootnoteReference"/>
        </w:rPr>
        <w:footnoteRef/>
      </w:r>
      <w:r>
        <w:fldChar w:fldCharType="begin"/>
      </w:r>
      <w:r w:rsidR="00C04038">
        <w:instrText xml:space="preserve"> ADDIN ZOTERO_ITEM CSL_CITATION {"citationID":"TsTWs0wm","properties":{"formattedCitation":"Franklin Allen et al., Centralization or Decentralization? The Evolution of State-Ownership in China (Oct. 20, 2024), https://papers.ssrn.com/abstract=4283197.","plainCitation":"Franklin Allen et al., Centralization or Decentralization? The Evolution of State-Ownership in China (Oct. 20, 2024), https://papers.ssrn.com/abstract=4283197.","noteIndex":21},"citationItems":[{"id":119,"uris":["http://zotero.org/users/20142566/items/6FXS9XMN"],"itemData":{"id":119,"type":"article","abstract":"We re-examine the state sector and its role in the Chinese economy through the equity ownership networks of 40 million firms from 1990 to 2017. Our measure uncovers a broader array of state-owned enterprises (SOEs) than the existing measures. State ownership witnesses dual trends: decentralization—the scale of capital from the central government has been declining—and indirect control—a rising number of SOEs with provincial and city government ownership stakes and increasing hierarchical distance between existing and new SOEs from their ultimate state owners. The increase in hierarchical distance and expansion of SOE networks can be explained by the openings of new high-speed rail routes. Firms with minority state ownership stakes and greater hierarchical distance to the central and provincial government owners have better performance as measured by higher profitability and productivity.","DOI":"10.2139/ssrn.4283197","genre":"SSRN Scholarly Paper","language":"en","number":"4283197","publisher":"Social Science Research Network","publisher-place":"Rochester, NY","source":"papers.ssrn.com","title":"Centralization or Decentralization? The Evolution of State-Ownership in China","title-short":"Centralization or Decentralization?","URL":"https://papers.ssrn.com/abstract=4283197","author":[{"family":"Allen","given":"Franklin"},{"family":"Cai","given":"Junhui"},{"family":"Gu","given":"Xian"},{"family":"Qian","given":"Jun \"QJ\""},{"family":"Zhao","given":"Linda"},{"family":"Zhu","given":"Wu"}],"accessed":{"date-parts":[["2026",4,13]]},"issued":{"date-parts":[["2024",10,20]]}}}],"schema":"https://github.com/citation-style-language/schema/raw/master/csl-citation.json"} </w:instrText>
      </w:r>
      <w:r>
        <w:fldChar w:fldCharType="separate"/>
      </w:r>
      <w:r>
        <w:rPr>
          <w:noProof/>
        </w:rPr>
        <w:t xml:space="preserve"> Franklin Allen et al., </w:t>
      </w:r>
      <w:r>
        <w:t>Centralization or Decentralization</w:t>
      </w:r>
      <w:r>
        <w:rPr>
          <w:noProof/>
        </w:rPr>
        <w:t xml:space="preserve">? </w:t>
      </w:r>
      <w:r>
        <w:t>The Evolution of State-Ownership in China</w:t>
      </w:r>
      <w:r>
        <w:rPr>
          <w:noProof/>
        </w:rPr>
        <w:t xml:space="preserve"> (20 de octubre de 2024), https://papers.ssrn.com/abstract=4283197.</w:t>
      </w:r>
      <w:r>
        <w:fldChar w:fldCharType="end"/>
      </w:r>
    </w:p>
  </w:footnote>
  <w:footnote w:id="36">
    <w:p w:rsidRPr="00191DFD" w:rsidR="00191DFD" w:rsidRDefault="00191DFD" w14:paraId="3E1DF8C2" w14:textId="2E6A736B">
      <w:pPr>
        <w:pStyle w:val="FootnoteText"/>
      </w:pPr>
      <w:r>
        <w:rPr>
          <w:rStyle w:val="FootnoteReference"/>
        </w:rPr>
        <w:footnoteRef/>
      </w:r>
      <w:r>
        <w:t xml:space="preserve"> </w:t>
      </w:r>
      <w:r>
        <w:t xml:space="preserve">Michel Foucault, </w:t>
      </w:r>
      <w:r>
        <w:t>Governmentality,</w:t>
      </w:r>
      <w:r>
        <w:t xml:space="preserve"> en </w:t>
      </w:r>
      <w:r>
        <w:t>The Foucault Effect</w:t>
      </w:r>
      <w:r>
        <w:t xml:space="preserve">: </w:t>
      </w:r>
      <w:r>
        <w:t>Studies in Governmentality</w:t>
      </w:r>
      <w:r>
        <w:t xml:space="preserve"> 87-104 (Graham Burchell, Colin Gordon y Peter Miller, eds., University of Chicago Press, 1991); en general</w:t>
      </w:r>
      <w:r>
        <w:rPr>
          <w:smallCaps/>
        </w:rPr>
        <w:t xml:space="preserve">, Michel Foucault, </w:t>
      </w:r>
      <w:r>
        <w:t>The Birth of Biopolitics</w:t>
      </w:r>
      <w:r>
        <w:rPr>
          <w:smallCaps/>
        </w:rPr>
        <w:t xml:space="preserve">: </w:t>
      </w:r>
      <w:r>
        <w:t>Lectures at the</w:t>
      </w:r>
      <w:r>
        <w:rPr>
          <w:smallCaps/>
        </w:rPr>
        <w:t xml:space="preserve"> Collège de France 1978-1979 </w:t>
      </w:r>
      <w:r>
        <w:t xml:space="preserve">(Picador, 2010); </w:t>
      </w:r>
      <w:r>
        <w:t>cf.</w:t>
      </w:r>
      <w:r>
        <w:t xml:space="preserve"> </w:t>
      </w:r>
      <w:r>
        <w:t xml:space="preserve">Lauren B. Edelman, </w:t>
      </w:r>
      <w:r>
        <w:t>Overlapping Fields and Constructed Legalities</w:t>
      </w:r>
      <w:r>
        <w:t xml:space="preserve">: </w:t>
      </w:r>
      <w:r>
        <w:t>The Endogeneity of Law</w:t>
      </w:r>
      <w:r>
        <w:t>, en</w:t>
      </w:r>
      <w:r>
        <w:rPr>
          <w:smallCaps/>
        </w:rPr>
        <w:t xml:space="preserve"> </w:t>
      </w:r>
      <w:r>
        <w:t>Private Equity</w:t>
      </w:r>
      <w:r>
        <w:rPr>
          <w:smallCaps/>
        </w:rPr>
        <w:t xml:space="preserve">, </w:t>
      </w:r>
      <w:r>
        <w:t>Corporate Governance and the Dynamics of Capital Market Regulation</w:t>
      </w:r>
      <w:r>
        <w:t xml:space="preserve"> 55-90 </w:t>
      </w:r>
      <w:r>
        <w:t>(Justin</w:t>
      </w:r>
      <w:r>
        <w:t xml:space="preserve"> O’Brien,</w:t>
      </w:r>
      <w:r>
        <w:t xml:space="preserve"> ed.,</w:t>
      </w:r>
      <w:r>
        <w:t xml:space="preserve"> Imperial College Press, 2007).</w:t>
      </w:r>
    </w:p>
  </w:footnote>
  <w:footnote w:id="37">
    <w:p w:rsidR="0087065B" w:rsidRDefault="00000000" w14:paraId="57316C29" w14:textId="77777777">
      <w:pPr>
        <w:pStyle w:val="FootnoteText"/>
      </w:pPr>
      <w:r>
        <w:rPr>
          <w:rStyle w:val="FootnoteReference"/>
        </w:rPr>
        <w:footnoteRef/>
      </w:r>
      <w:r>
        <w:t xml:space="preserve"> Larry Catá Backer, </w:t>
      </w:r>
      <w:r>
        <w:t>Lecture Seven</w:t>
      </w:r>
      <w:r>
        <w:t xml:space="preserve">: </w:t>
      </w:r>
      <w:r>
        <w:t>AI Narratives and the Future of AI–Human Regulatory Structures</w:t>
      </w:r>
      <w:r>
        <w:t xml:space="preserve"> (materiales de clase </w:t>
      </w:r>
      <w:r>
        <w:t>inéditos</w:t>
      </w:r>
      <w:r>
        <w:t xml:space="preserve">, Universidad Estatal de Pensilvania, 2026) </w:t>
      </w:r>
      <w:r>
        <w:t>(en poder del</w:t>
      </w:r>
      <w:r>
        <w:t xml:space="preserve"> autor).</w:t>
      </w:r>
    </w:p>
  </w:footnote>
  <w:footnote w:id="38">
    <w:p w:rsidR="007B1BD8" w:rsidRDefault="007B1BD8" w14:paraId="7C85CA16" w14:textId="1240A56C">
      <w:pPr>
        <w:pStyle w:val="FootnoteText"/>
      </w:pPr>
      <w:r>
        <w:rPr>
          <w:rStyle w:val="FootnoteReference"/>
        </w:rPr>
        <w:footnoteRef/>
      </w:r>
      <w:r>
        <w:fldChar w:fldCharType="begin"/>
      </w:r>
      <w:r w:rsidR="00C04038">
        <w:instrText xml:space="preserve"> ADDIN ZOTERO_ITEM CSL_CITATION {"citationID":"3EHU2P2T","properties":{"formattedCitation":"Bin Cao et al., {\\i{}Blockchain Systems, Technologies, and Applications: A Methodology Perspective}, 25 {\\scaps IEEE Commun. Surv. Tutor.} 353 (2023).","plainCitation":"Bin Cao et al., Blockchain Systems, Technologies, and Applications: A Methodology Perspective, 25 IEEE Commun. Surv. Tutor. 353 (2023).","noteIndex":22},"citationItems":[{"id":160,"uris":["http://zotero.org/users/20142566/items/M9UIA8R3"],"itemData":{"id":160,"type":"article-journal","container-title":"IEEE Communications Surveys &amp; Tutorials","DOI":"10.1109/COMST.2022.3204702","ISSN":"1553-877X, 2373-745X","issue":"1","journalAbbreviation":"IEEE Commun. Surv. Tutorials","license":"https://ieeexplore.ieee.org/Xplorehelp/downloads/license-information/IEEE.html","page":"353-385","source":"DOI.org (Crossref)","title":"Blockchain Systems, Technologies, and Applications: A Methodology Perspective","title-short":"Blockchain Systems, Technologies, and Applications","volume":"25","author":[{"family":"Cao","given":"Bin"},{"family":"Wang","given":"Zixin"},{"family":"Zhang","given":"Long"},{"family":"Feng","given":"Daquan"},{"family":"Peng","given":"Mugen"},{"family":"Zhang","given":"Lei"},{"family":"Han","given":"Zhu"}],"issued":{"date-parts":[["2023"]]}}}],"schema":"https://github.com/citation-style-language/schema/raw/master/csl-citation.json"} </w:instrText>
      </w:r>
      <w:r>
        <w:fldChar w:fldCharType="separate"/>
      </w:r>
      <w:r w:rsidRPr="007B1BD8">
        <w:rPr>
          <w:rFonts w:cs="Times New Roman"/>
          <w:kern w:val="0"/>
          <w:lang w:bidi="yi-Hebr"/>
        </w:rPr>
        <w:t xml:space="preserve"> Bin Cao et al., </w:t>
      </w:r>
      <w:r>
        <w:t>Blockchain Systems</w:t>
      </w:r>
      <w:r>
        <w:rPr>
          <w:rFonts w:cs="Times New Roman"/>
          <w:i/>
          <w:iCs/>
          <w:kern w:val="0"/>
          <w:lang w:bidi="yi-Hebr"/>
        </w:rPr>
        <w:t xml:space="preserve">, </w:t>
      </w:r>
      <w:r>
        <w:t>Technologies, and Applications</w:t>
      </w:r>
      <w:r>
        <w:rPr>
          <w:rFonts w:cs="Times New Roman"/>
          <w:i/>
          <w:iCs/>
          <w:kern w:val="0"/>
          <w:lang w:bidi="yi-Hebr"/>
        </w:rPr>
        <w:t xml:space="preserve">: </w:t>
      </w:r>
      <w:r>
        <w:t>A Methodology Perspective</w:t>
      </w:r>
      <w:r>
        <w:rPr>
          <w:rFonts w:cs="Times New Roman"/>
          <w:kern w:val="0"/>
          <w:lang w:bidi="yi-Hebr"/>
        </w:rPr>
        <w:t>, 25</w:t>
      </w:r>
      <w:r>
        <w:t xml:space="preserve"> IEEE Commun.</w:t>
      </w:r>
      <w:r>
        <w:rPr>
          <w:rFonts w:cs="Times New Roman"/>
          <w:kern w:val="0"/>
          <w:lang w:bidi="yi-Hebr"/>
        </w:rPr>
        <w:t xml:space="preserve"> </w:t>
      </w:r>
      <w:r w:rsidRPr="007B1BD8">
        <w:rPr>
          <w:rFonts w:cs="Times New Roman"/>
          <w:smallCaps/>
          <w:kern w:val="0"/>
          <w:lang w:bidi="yi-Hebr"/>
        </w:rPr>
        <w:t xml:space="preserve">Surv</w:t>
      </w:r>
      <w:r w:rsidRPr="007B1BD8">
        <w:rPr>
          <w:rFonts w:cs="Times New Roman"/>
          <w:smallCaps/>
          <w:kern w:val="0"/>
          <w:lang w:bidi="yi-Hebr"/>
        </w:rPr>
        <w:t xml:space="preserve">. Tutor.</w:t>
      </w:r>
      <w:r w:rsidRPr="007B1BD8">
        <w:rPr>
          <w:rFonts w:cs="Times New Roman"/>
          <w:kern w:val="0"/>
          <w:lang w:bidi="yi-Hebr"/>
        </w:rPr>
        <w:t xml:space="preserve"> 353 (2023).</w:t>
      </w:r>
      <w:r>
        <w:fldChar w:fldCharType="end"/>
      </w:r>
    </w:p>
  </w:footnote>
  <w:footnote w:id="39">
    <w:p w:rsidR="00111237" w:rsidRDefault="00111237" w14:paraId="031492F9" w14:textId="63E241E1">
      <w:pPr>
        <w:pStyle w:val="FootnoteText"/>
      </w:pPr>
      <w:r>
        <w:rPr>
          <w:rStyle w:val="FootnoteReference"/>
        </w:rPr>
        <w:footnoteRef/>
      </w:r>
      <w:r>
        <w:fldChar w:fldCharType="begin"/>
      </w:r>
      <w:r w:rsidR="00C04038">
        <w:instrText xml:space="preserve"> ADDIN ZOTERO_ITEM CSL_CITATION {"citationID":"jhiqGZqx","properties":{"formattedCitation":"Michael J\\uc0\\u252{}nemann, {\\i{}Can Code Be Law?}, (2021), https://www.twobirds.com/en/insights/2021/germany/can-code-be-law.","plainCitation":"Michael Jünemann, Can Code Be Law?, (2021), https://www.twobirds.com/en/insights/2021/germany/can-code-be-law.","noteIndex":23},"citationItems":[{"id":57,"uris":["http://zotero.org/users/20142566/items/BW8DQJ3N"],"itemData":{"id":57,"type":"webpage","abstract":"Bird &amp; Bird Partner Dr. Michael Jünemann teamed up with the tech-expert Dr. Udo Milkau to address legal challenges of Blockchain-based contracts. A pdf including notes, citations and sources is available for downloads below.","language":"en","title":"Can Code Be Law?","URL":"https://www.twobirds.com/en/insights/2021/germany/can-code-be-law","author":[{"family":"Jünemann","given":"Michael"}],"accessed":{"date-parts":[["2026",4,6]]},"issued":{"date-parts":[["2021"]]}}}],"schema":"https://github.com/citation-style-language/schema/raw/master/csl-citation.json"} </w:instrText>
      </w:r>
      <w:r>
        <w:fldChar w:fldCharType="separate"/>
      </w:r>
      <w:r w:rsidRPr="00111237">
        <w:rPr>
          <w:rFonts w:cs="Times New Roman"/>
          <w:kern w:val="0"/>
          <w:lang w:bidi="yi-Hebr"/>
        </w:rPr>
        <w:t xml:space="preserve"> Michael Jünemann, </w:t>
      </w:r>
      <w:r>
        <w:t>Can Code Be Law?,</w:t>
      </w:r>
      <w:r>
        <w:rPr>
          <w:rFonts w:cs="Times New Roman"/>
          <w:kern w:val="0"/>
          <w:lang w:bidi="yi-Hebr"/>
        </w:rPr>
        <w:t xml:space="preserve"> (2021), https://www.twobirds.com/en/insights/2021/germany/can-code-be-law.</w:t>
      </w:r>
      <w:r>
        <w:fldChar w:fldCharType="end"/>
      </w:r>
    </w:p>
  </w:footnote>
  <w:footnote w:id="40">
    <w:p w:rsidR="004F0020" w:rsidRDefault="004F0020" w14:paraId="2F9010AC" w14:textId="6ADB581D">
      <w:pPr>
        <w:pStyle w:val="FootnoteText"/>
      </w:pPr>
      <w:r>
        <w:rPr>
          <w:rStyle w:val="FootnoteReference"/>
        </w:rPr>
        <w:footnoteRef/>
      </w:r>
      <w:r>
        <w:fldChar w:fldCharType="begin"/>
      </w:r>
      <w:r>
        <w:instrText xml:space="preserve"> ADDIN ZOTERO_ITEM CSL_CITATION {"citationID":"2IiiuD2b","properties":{"formattedCitation":"Nick Szabo, {\\i{}Formalizing and Securing Relationships on Public Networks}, 2 {\\scaps First Monday} (1997), http://journals.uic.edu/ojs/index.php/fm/article/view/548.","plainCitation":"Nick Szabo, Formalizing and Securing Relationships on Public Networks, 2 First Monday (1997), http://journals.uic.edu/ojs/index.php/fm/article/view/548.","noteIndex":24},"citationItems":[{"id":7,"uris":["http://zotero.org/users/20142566/items/LCF52DQI"],"itemData":{"id":7,"type":"article-journal","container-title":"First Monday","DOI":"10.5210/fm.v2i9.548","ISSN":"13960466","issue":"9","language":"en","source":"DOI.org (Crossref)","title":"Formalizing and Securing Relationships on Public Networks","URL":"http://journals.uic.edu/ojs/index.php/fm/article/view/548","volume":"2","author":[{"family":"Szabo","given":"Nick"}],"accessed":{"date-parts":[["2026",4,3]]},"issued":{"date-parts":[["1997",9,1]]}}}],"schema":"https://github.com/citation-style-language/schema/raw/master/csl-citation.json"} </w:instrText>
      </w:r>
      <w:r>
        <w:fldChar w:fldCharType="separate"/>
      </w:r>
      <w:r w:rsidRPr="004F0020">
        <w:rPr>
          <w:rFonts w:cs="Times New Roman"/>
          <w:kern w:val="0"/>
        </w:rPr>
        <w:t xml:space="preserve"> Nick Szabo, </w:t>
      </w:r>
      <w:r>
        <w:t>Formalizing and Securing Relationships on Public Networks</w:t>
      </w:r>
      <w:r>
        <w:rPr>
          <w:rFonts w:cs="Times New Roman"/>
          <w:kern w:val="0"/>
        </w:rPr>
        <w:t>, 2</w:t>
      </w:r>
      <w:r>
        <w:t xml:space="preserve"> First Monday</w:t>
      </w:r>
      <w:r>
        <w:rPr>
          <w:rFonts w:cs="Times New Roman"/>
          <w:kern w:val="0"/>
        </w:rPr>
        <w:t xml:space="preserve"> </w:t>
      </w:r>
      <w:r w:rsidRPr="004F0020">
        <w:rPr>
          <w:rFonts w:cs="Times New Roman"/>
          <w:kern w:val="0"/>
        </w:rPr>
        <w:t xml:space="preserve">(1997), http://journals.uic.edu/ojs/index.php/fm/article/view/548.</w:t>
      </w:r>
      <w:r>
        <w:fldChar w:fldCharType="end"/>
      </w:r>
    </w:p>
  </w:footnote>
  <w:footnote w:id="41">
    <w:p w:rsidR="00C656DF" w:rsidRDefault="00C656DF" w14:paraId="06913253" w14:textId="52B4789B">
      <w:pPr>
        <w:pStyle w:val="FootnoteText"/>
      </w:pPr>
      <w:r>
        <w:rPr>
          <w:rStyle w:val="FootnoteReference"/>
        </w:rPr>
        <w:footnoteRef/>
      </w:r>
      <w:r>
        <w:fldChar w:fldCharType="begin"/>
      </w:r>
      <w:r w:rsidR="00C04038">
        <w:instrText xml:space="preserve"> ADDIN ZOTERO_ITEM CSL_CITATION {"citationID":"qWLbvZhR","properties":{"formattedCitation":"Hamed Taherdoost, {\\i{}Non-Fungible Tokens (NFT): A Systematic Review}, 14 {\\scaps Information} 26 (2022).","plainCitation":"Hamed Taherdoost, Non-Fungible Tokens (NFT): A Systematic Review, 14 Information 26 (2022).","noteIndex":24},"citationItems":[{"id":159,"uris":["http://zotero.org/users/20142566/items/5X38G8LV"],"itemData":{"id":159,"type":"article-journal","abstract":"Non-fungible tokens (NFTs) are gaining in popularity and are already extensively implemented. New use cases for NFTs are constantly developing. NFTs may prevent counterfeiting since each token carries the owner’s digital signature and is thus unique. For the usage of NFTs to progress in an institutional environment, the potential for using NFTs must be investigated in detail. This discovery prompted a comprehensive examination of NFTs developed between 2012 and 2022. The scope is confined to the journal and the keywords “Blockchain”, “Block-chain”, “Non-fungible Token”, and “NFT” are used. Also excluded are studies based on interviews, articles in the press, non-English articles, reviews, conferences, book chapters, dissertations, and monographs. This evaluation includes 34 papers from the last decade. This research examines the current state and development trends of NFT. In addition, the gaps and difficulties in the related literature have been explored, with an emphasis on the limits. These results highlight many unsolved research questions and potential future research avenues that would likely be beneficial to academics and professionals.","container-title":"Information","DOI":"10.3390/info14010026","ISSN":"2078-2489","issue":"1","journalAbbreviation":"Information","language":"en","page":"26","source":"DOI.org (Crossref)","title":"Non-Fungible Tokens (NFT): A Systematic Review","title-short":"Non-Fungible Tokens (NFT)","volume":"14","author":[{"family":"Taherdoost","given":"Hamed"}],"issued":{"date-parts":[["2022",12,31]]}}}],"schema":"https://github.com/citation-style-language/schema/raw/master/csl-citation.json"} </w:instrText>
      </w:r>
      <w:r>
        <w:fldChar w:fldCharType="separate"/>
      </w:r>
      <w:r w:rsidRPr="00C656DF">
        <w:rPr>
          <w:rFonts w:cs="Times New Roman"/>
          <w:kern w:val="0"/>
          <w:lang w:bidi="yi-Hebr"/>
        </w:rPr>
        <w:t xml:space="preserve"> Hamed </w:t>
      </w:r>
      <w:r w:rsidRPr="00C656DF">
        <w:rPr>
          <w:rFonts w:cs="Times New Roman"/>
          <w:kern w:val="0"/>
          <w:lang w:bidi="yi-Hebr"/>
        </w:rPr>
        <w:t xml:space="preserve">Taherdoost</w:t>
      </w:r>
      <w:r>
        <w:rPr>
          <w:rFonts w:cs="Times New Roman"/>
          <w:kern w:val="0"/>
          <w:lang w:bidi="yi-Hebr"/>
        </w:rPr>
        <w:t>,</w:t>
      </w:r>
      <w:r>
        <w:rPr>
          <w:rFonts w:cs="Times New Roman"/>
          <w:i/>
          <w:iCs/>
          <w:kern w:val="0"/>
          <w:lang w:bidi="yi-Hebr"/>
        </w:rPr>
        <w:t xml:space="preserve"> </w:t>
      </w:r>
      <w:r>
        <w:t>Non-Fungible Tokens</w:t>
      </w:r>
      <w:r>
        <w:rPr>
          <w:rFonts w:cs="Times New Roman"/>
          <w:i/>
          <w:iCs/>
          <w:kern w:val="0"/>
          <w:lang w:bidi="yi-Hebr"/>
        </w:rPr>
        <w:t xml:space="preserve"> (NFT): </w:t>
      </w:r>
      <w:r>
        <w:t>A Systematic Review</w:t>
      </w:r>
      <w:r>
        <w:rPr>
          <w:rFonts w:cs="Times New Roman"/>
          <w:kern w:val="0"/>
          <w:lang w:bidi="yi-Hebr"/>
        </w:rPr>
        <w:t>, 14</w:t>
      </w:r>
      <w:r>
        <w:t xml:space="preserve"> Information</w:t>
      </w:r>
      <w:r w:rsidRPr="00C656DF">
        <w:rPr>
          <w:rFonts w:cs="Times New Roman"/>
          <w:kern w:val="0"/>
          <w:lang w:bidi="yi-Hebr"/>
        </w:rPr>
        <w:t xml:space="preserve"> 26 (2022).</w:t>
      </w:r>
      <w:r>
        <w:fldChar w:fldCharType="end"/>
      </w:r>
    </w:p>
  </w:footnote>
  <w:footnote w:id="42">
    <w:p w:rsidR="003F6FF0" w:rsidRDefault="003F6FF0" w14:paraId="2F446AE5" w14:textId="4F4D5974">
      <w:pPr>
        <w:pStyle w:val="FootnoteText"/>
      </w:pPr>
      <w:r>
        <w:rPr>
          <w:rStyle w:val="FootnoteReference"/>
        </w:rPr>
        <w:footnoteRef/>
      </w:r>
      <w:r>
        <w:fldChar w:fldCharType="begin"/>
      </w:r>
      <w:r>
        <w:instrText xml:space="preserve"> ADDIN ZOTERO_ITEM CSL_CITATION {"citationID":"BMXP7GZC","properties":{"formattedCitation":"Margot E. Kaminski, {\\i{}Binary Governance: Lessons from the GDPR\\uc0\\u8217{}s Approach to Algorithmic Accountability}, {\\scaps SSRN Electron. J.} (2019), https://www.ssrn.com/abstract=3351404.","plainCitation":"Margot E. Kaminski, Binary Governance: Lessons from the GDPR’s Approach to Algorithmic Accountability, SSRN Electron. J. (2019), https://www.ssrn.com/abstract=3351404.","noteIndex":26},"citationItems":[{"id":16,"uris":["http://zotero.org/users/20142566/items/P9ZP2HLS"],"itemData":{"id":16,"type":"article-journal","container-title":"SSRN Electronic Journal","DOI":"10.2139/ssrn.3351404","ISSN":"1556-5068","journalAbbreviation":"SSRN Journal","language":"en","source":"DOI.org (Crossref)","title":"Binary Governance: Lessons from the GDPR's Approach to Algorithmic Accountability","title-short":"Binary Governance","URL":"https://www.ssrn.com/abstract=3351404","author":[{"family":"Kaminski","given":"Margot E."}],"accessed":{"date-parts":[["2026",4,3]]},"issued":{"date-parts":[["2019"]]}}}],"schema":"https://github.com/citation-style-language/schema/raw/master/csl-citation.json"} </w:instrText>
      </w:r>
      <w:r>
        <w:fldChar w:fldCharType="separate"/>
      </w:r>
      <w:r w:rsidRPr="003F6FF0">
        <w:rPr>
          <w:rFonts w:cs="Times New Roman"/>
          <w:kern w:val="0"/>
        </w:rPr>
        <w:t xml:space="preserve"> Margot E. Kaminski, </w:t>
      </w:r>
      <w:r>
        <w:t>Binary Governance</w:t>
      </w:r>
      <w:r>
        <w:rPr>
          <w:rFonts w:cs="Times New Roman"/>
          <w:i/>
          <w:iCs/>
          <w:kern w:val="0"/>
        </w:rPr>
        <w:t xml:space="preserve">: </w:t>
      </w:r>
      <w:r>
        <w:t>Lessons from the GDPR’s Approach to Algorithmic Accountability, SSRN Electron. J.</w:t>
      </w:r>
      <w:r>
        <w:rPr>
          <w:rFonts w:cs="Times New Roman"/>
          <w:kern w:val="0"/>
        </w:rPr>
        <w:t xml:space="preserve"> </w:t>
      </w:r>
      <w:r w:rsidRPr="003F6FF0">
        <w:rPr>
          <w:rFonts w:cs="Times New Roman"/>
          <w:kern w:val="0"/>
        </w:rPr>
        <w:t xml:space="preserve">(2019), https://www.ssrn.com/abstract=3351404.</w:t>
      </w:r>
      <w:r>
        <w:fldChar w:fldCharType="end"/>
      </w:r>
    </w:p>
  </w:footnote>
  <w:footnote w:id="43">
    <w:p w:rsidR="00AB62EA" w:rsidRDefault="00AB62EA" w14:paraId="0D8E4407" w14:textId="193F0C45">
      <w:pPr>
        <w:pStyle w:val="FootnoteText"/>
      </w:pPr>
      <w:r>
        <w:rPr>
          <w:rStyle w:val="FootnoteReference"/>
        </w:rPr>
        <w:footnoteRef/>
      </w:r>
      <w:r>
        <w:fldChar w:fldCharType="begin"/>
      </w:r>
      <w:r w:rsidR="00C04038">
        <w:instrText xml:space="preserve"> ADDIN ZOTERO_ITEM CSL_CITATION {"citationID":"Mn5vYbTV","properties":{"formattedCitation":"Constantine Sedikides, Lowell Gaertner &amp; Erin M. O\\uc0\\u8217{}Mara, {\\i{}Individual Self, Relational Self, Collective Self: Hierarchical Ordering of the Tripartite Self}, 56 {\\scaps Psychol. Stud.} 98 (2011).","plainCitation":"Constantine Sedikides, Lowell Gaertner &amp; Erin M. O’Mara, Individual Self, Relational Self, Collective Self: Hierarchical Ordering of the Tripartite Self, 56 Psychol. Stud. 98 (2011).","noteIndex":25},"citationItems":[{"id":158,"uris":["http://zotero.org/users/20142566/items/2UY8X5XQ"],"itemData":{"id":158,"type":"article-journal","abstract":"The individual self comprise unique attributes, the relational self comprises partner-shared attributes, and the collective self comprises ingroup-shared attributes. All selves are fundamental components of the self-concept, with each being important and meaningful to human experience and with each being associated with health benefits. Are the selves, however, equally important and meaningful? We review a program of research that tested four competing theoretical views suggesting that the motivational hub of human experience is (a) the individual self, (b) the relational self, (b) the collective self, or (c) determined by contextual or cultural factors. The research furnished support to the view that the individual self is the primary form of self-definition. We discuss alternative explanations and implications. We end with the introduction of a theoretical model, the boomerang model, that has the potential to integrate the diverse literature on the topic.","container-title":"Psychological Studies","DOI":"10.1007/s12646-011-0059-0","ISSN":"0974-9861","issue":"1","journalAbbreviation":"Psychol Stud","language":"en","page":"98-107","source":"Springer Link","title":"Individual Self, Relational Self, Collective Self: Hierarchical Ordering of the Tripartite Self","title-short":"Individual Self, Relational Self, Collective Self","volume":"56","author":[{"family":"Sedikides","given":"Constantine"},{"family":"Gaertner","given":"Lowell"},{"family":"O’Mara","given":"Erin M."}],"issued":{"date-parts":[["2011",3,1]]}}}],"schema":"https://github.com/citation-style-language/schema/raw/master/csl-citation.json"} </w:instrText>
      </w:r>
      <w:r>
        <w:fldChar w:fldCharType="separate"/>
      </w:r>
      <w:r w:rsidRPr="00AB62EA">
        <w:rPr>
          <w:rFonts w:cs="Times New Roman"/>
          <w:kern w:val="0"/>
          <w:lang w:bidi="yi-Hebr"/>
        </w:rPr>
        <w:t xml:space="preserve"> Constantine Sedikides, Lowell Gaertner y Erin M. O’Mara, </w:t>
      </w:r>
      <w:r>
        <w:t>Individual Self, Relational Self</w:t>
      </w:r>
      <w:r>
        <w:rPr>
          <w:rFonts w:cs="Times New Roman"/>
          <w:i/>
          <w:iCs/>
          <w:kern w:val="0"/>
          <w:lang w:bidi="yi-Hebr"/>
        </w:rPr>
        <w:t xml:space="preserve">, </w:t>
      </w:r>
      <w:r>
        <w:t>Collective Self: Hierarchical Ordering of the Tripartite Self, 56 Psychol. Stud.</w:t>
      </w:r>
      <w:r>
        <w:rPr>
          <w:rFonts w:cs="Times New Roman"/>
          <w:kern w:val="0"/>
          <w:lang w:bidi="yi-Hebr"/>
        </w:rPr>
        <w:t xml:space="preserve"> </w:t>
      </w:r>
      <w:r>
        <w:rPr>
          <w:rFonts w:cs="Times New Roman"/>
          <w:kern w:val="0"/>
          <w:lang w:bidi="yi-Hebr"/>
        </w:rPr>
        <w:t>98 (2011).</w:t>
      </w:r>
      <w:r>
        <w:fldChar w:fldCharType="end"/>
      </w:r>
    </w:p>
  </w:footnote>
  <w:footnote w:id="44">
    <w:p w:rsidR="004817E5" w:rsidRDefault="00000000" w14:paraId="6D9281C6"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Peter T.F. Raggatt, </w:t>
      </w:r>
      <w:r>
        <w:t>The Dialogical Self and Thirdness</w:t>
      </w:r>
      <w:r>
        <w:rPr>
          <w:rFonts w:ascii="Times New Roman" w:hAnsi="Times New Roman" w:cs="Times New Roman"/>
        </w:rPr>
        <w:t xml:space="preserve">: </w:t>
      </w:r>
      <w:r>
        <w:t>A Semiotic Approach to Positioning Using Dialogical Triads</w:t>
      </w:r>
      <w:r>
        <w:rPr>
          <w:rFonts w:ascii="Times New Roman" w:hAnsi="Times New Roman" w:cs="Times New Roman"/>
        </w:rPr>
        <w:t xml:space="preserve">, </w:t>
      </w:r>
      <w:r>
        <w:t>20(3</w:t>
      </w:r>
      <w:r>
        <w:rPr>
          <w:rFonts w:ascii="Times New Roman" w:hAnsi="Times New Roman" w:cs="Times New Roman"/>
        </w:rPr>
        <w:t xml:space="preserve">) </w:t>
      </w:r>
      <w:r>
        <w:rPr>
          <w:rFonts w:ascii="Times New Roman" w:hAnsi="Times New Roman" w:cs="Times New Roman"/>
          <w:smallCaps/>
        </w:rPr>
        <w:t xml:space="preserve">Theory </w:t>
      </w:r>
      <w:r>
        <w:rPr>
          <w:rFonts w:ascii="Times New Roman" w:hAnsi="Times New Roman" w:cs="Times New Roman"/>
        </w:rPr>
        <w:t xml:space="preserve">&amp; </w:t>
      </w:r>
      <w:r>
        <w:rPr>
          <w:rFonts w:ascii="Times New Roman" w:hAnsi="Times New Roman" w:cs="Times New Roman"/>
          <w:smallCaps/>
        </w:rPr>
        <w:t xml:space="preserve">Psychology </w:t>
      </w:r>
      <w:r>
        <w:rPr>
          <w:rFonts w:ascii="Times New Roman" w:hAnsi="Times New Roman" w:cs="Times New Roman"/>
        </w:rPr>
        <w:t xml:space="preserve">(2010); disponible en [https://doi.org/10.1177/0959354310364878]; John F. Sowa, </w:t>
      </w:r>
      <w:r>
        <w:t>«Ontology, Metadata</w:t>
      </w:r>
      <w:r>
        <w:rPr>
          <w:rFonts w:ascii="Times New Roman" w:hAnsi="Times New Roman" w:cs="Times New Roman"/>
        </w:rPr>
        <w:t xml:space="preserve">, </w:t>
      </w:r>
      <w:r>
        <w:t>and Semiotics»</w:t>
      </w:r>
      <w:r>
        <w:rPr>
          <w:rFonts w:ascii="Times New Roman" w:hAnsi="Times New Roman" w:cs="Times New Roman"/>
        </w:rPr>
        <w:t xml:space="preserve">, </w:t>
      </w:r>
      <w:r>
        <w:t>ponencia presentada en</w:t>
      </w:r>
      <w:r>
        <w:rPr>
          <w:rFonts w:ascii="Times New Roman" w:hAnsi="Times New Roman" w:cs="Times New Roman"/>
        </w:rPr>
        <w:t xml:space="preserve"> ICCS 2000</w:t>
      </w:r>
      <w:r>
        <w:t>,</w:t>
      </w:r>
      <w:r>
        <w:rPr>
          <w:rFonts w:ascii="Times New Roman" w:hAnsi="Times New Roman" w:cs="Times New Roman"/>
        </w:rPr>
        <w:t xml:space="preserve"> Darmstadt, Alemania, </w:t>
      </w:r>
      <w:r>
        <w:rPr>
          <w:rFonts w:ascii="Times New Roman" w:hAnsi="Times New Roman" w:cs="Times New Roman"/>
        </w:rPr>
        <w:t xml:space="preserve">14 de agosto de 2000; </w:t>
      </w:r>
      <w:r>
        <w:t>publicada</w:t>
      </w:r>
      <w:r>
        <w:rPr>
          <w:rFonts w:ascii="Times New Roman" w:hAnsi="Times New Roman" w:cs="Times New Roman"/>
        </w:rPr>
        <w:t xml:space="preserve"> en B. Ganter y G. W. Mineau, eds., </w:t>
      </w:r>
      <w:r>
        <w:t>Conceptual Structures</w:t>
      </w:r>
      <w:r>
        <w:rPr>
          <w:rFonts w:ascii="Times New Roman" w:hAnsi="Times New Roman" w:cs="Times New Roman"/>
        </w:rPr>
        <w:t xml:space="preserve">: </w:t>
      </w:r>
      <w:r>
        <w:t>Logical, Linguistic</w:t>
      </w:r>
      <w:r>
        <w:rPr>
          <w:rFonts w:ascii="Times New Roman" w:hAnsi="Times New Roman" w:cs="Times New Roman"/>
        </w:rPr>
        <w:t xml:space="preserve">, </w:t>
      </w:r>
      <w:r>
        <w:t>and Computational Issues</w:t>
      </w:r>
      <w:r>
        <w:rPr>
          <w:rFonts w:ascii="Times New Roman" w:hAnsi="Times New Roman" w:cs="Times New Roman"/>
        </w:rPr>
        <w:t xml:space="preserve">, Lecture Notes in AI n.º 1867, Springer-Verlag, Berlín, 2000, pp. 55-81. En general, </w:t>
      </w:r>
      <w:r>
        <w:rPr>
          <w:rFonts w:ascii="Times New Roman" w:hAnsi="Times New Roman" w:cs="Times New Roman"/>
          <w:smallCaps/>
        </w:rPr>
        <w:t xml:space="preserve">Jan </w:t>
      </w:r>
      <w:r>
        <w:rPr>
          <w:rFonts w:ascii="Times New Roman" w:hAnsi="Times New Roman" w:cs="Times New Roman"/>
        </w:rPr>
        <w:t xml:space="preserve">M. </w:t>
      </w:r>
      <w:r>
        <w:rPr>
          <w:rFonts w:ascii="Times New Roman" w:hAnsi="Times New Roman" w:cs="Times New Roman"/>
          <w:smallCaps/>
        </w:rPr>
        <w:t xml:space="preserve">Broekman</w:t>
      </w:r>
      <w:r>
        <w:rPr>
          <w:rFonts w:ascii="Times New Roman" w:hAnsi="Times New Roman" w:cs="Times New Roman"/>
        </w:rPr>
        <w:t xml:space="preserve">, </w:t>
      </w:r>
      <w:r>
        <w:t>Meaning</w:t>
      </w:r>
      <w:r>
        <w:rPr>
          <w:rFonts w:ascii="Times New Roman" w:hAnsi="Times New Roman" w:cs="Times New Roman"/>
        </w:rPr>
        <w:t xml:space="preserve">, </w:t>
      </w:r>
      <w:r>
        <w:t>Narrativity, and the Real</w:t>
      </w:r>
      <w:r>
        <w:rPr>
          <w:rFonts w:ascii="Times New Roman" w:hAnsi="Times New Roman" w:cs="Times New Roman"/>
        </w:rPr>
        <w:t xml:space="preserve">: </w:t>
      </w:r>
      <w:r>
        <w:t>The Semiotics of Law in Legal Education IV</w:t>
      </w:r>
      <w:r>
        <w:rPr>
          <w:rFonts w:ascii="Times New Roman" w:hAnsi="Times New Roman" w:cs="Times New Roman"/>
        </w:rPr>
        <w:t xml:space="preserve"> (Springer, 2016).</w:t>
      </w:r>
    </w:p>
  </w:footnote>
  <w:footnote w:id="45">
    <w:p w:rsidR="004817E5" w:rsidRDefault="00000000" w14:paraId="288973EE"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Sobre su semiótica, véase Göran Sonesson, </w:t>
      </w:r>
      <w:r>
        <w:t>The Natural History of Branching</w:t>
      </w:r>
      <w:r>
        <w:rPr>
          <w:rFonts w:ascii="Times New Roman" w:hAnsi="Times New Roman" w:cs="Times New Roman"/>
        </w:rPr>
        <w:t xml:space="preserve">: </w:t>
      </w:r>
      <w:r>
        <w:t>Approaches to the Phenomenology of Firstness</w:t>
      </w:r>
      <w:r>
        <w:rPr>
          <w:rFonts w:ascii="Times New Roman" w:hAnsi="Times New Roman" w:cs="Times New Roman"/>
        </w:rPr>
        <w:t xml:space="preserve">, </w:t>
      </w:r>
      <w:r>
        <w:t>Secondness, and Thirdness</w:t>
      </w:r>
      <w:r>
        <w:rPr>
          <w:rFonts w:ascii="Times New Roman" w:hAnsi="Times New Roman" w:cs="Times New Roman"/>
        </w:rPr>
        <w:t>, 1(2) Signs and Society</w:t>
      </w:r>
      <w:r>
        <w:rPr>
          <w:rFonts w:ascii="Times New Roman" w:hAnsi="Times New Roman" w:cs="Times New Roman"/>
        </w:rPr>
        <w:t xml:space="preserve"> 297-325 (2025); doi:10.1086/673251.</w:t>
      </w:r>
    </w:p>
  </w:footnote>
  <w:footnote w:id="46">
    <w:p w:rsidR="004817E5" w:rsidRDefault="00000000" w14:paraId="3C3133A0"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smallCaps/>
        </w:rPr>
        <w:t xml:space="preserve">Primavera </w:t>
      </w:r>
      <w:r>
        <w:rPr>
          <w:rFonts w:ascii="Times New Roman" w:hAnsi="Times New Roman" w:cs="Times New Roman"/>
          <w:smallCaps/>
        </w:rPr>
        <w:t xml:space="preserve">De </w:t>
      </w:r>
      <w:r>
        <w:rPr>
          <w:rFonts w:ascii="Times New Roman" w:hAnsi="Times New Roman" w:cs="Times New Roman"/>
          <w:smallCaps/>
        </w:rPr>
        <w:t xml:space="preserve">Filippi y </w:t>
      </w:r>
      <w:r>
        <w:rPr>
          <w:rFonts w:ascii="Times New Roman" w:hAnsi="Times New Roman" w:cs="Times New Roman"/>
          <w:smallCaps/>
        </w:rPr>
        <w:t xml:space="preserve">Aaron </w:t>
      </w:r>
      <w:r>
        <w:rPr>
          <w:rFonts w:ascii="Times New Roman" w:hAnsi="Times New Roman" w:cs="Times New Roman"/>
          <w:smallCaps/>
        </w:rPr>
        <w:t xml:space="preserve">Wright</w:t>
      </w:r>
      <w:r>
        <w:rPr>
          <w:rFonts w:ascii="Times New Roman" w:hAnsi="Times New Roman" w:cs="Times New Roman"/>
        </w:rPr>
        <w:t xml:space="preserve">, </w:t>
      </w:r>
      <w:r>
        <w:rPr>
          <w:rFonts w:ascii="Times New Roman" w:hAnsi="Times New Roman" w:cs="Times New Roman"/>
          <w:smallCaps/>
        </w:rPr>
        <w:t xml:space="preserve">Blockchain </w:t>
      </w:r>
      <w:r>
        <w:t>and the Law</w:t>
      </w:r>
      <w:r>
        <w:rPr>
          <w:rFonts w:ascii="Times New Roman" w:hAnsi="Times New Roman" w:cs="Times New Roman"/>
        </w:rPr>
        <w:t xml:space="preserve">: </w:t>
      </w:r>
      <w:r>
        <w:t>The Rule of Code</w:t>
      </w:r>
      <w:r>
        <w:rPr>
          <w:rFonts w:ascii="Times New Roman" w:hAnsi="Times New Roman" w:cs="Times New Roman"/>
          <w:smallCaps/>
        </w:rPr>
        <w:t xml:space="preserve"> </w:t>
      </w:r>
      <w:r>
        <w:rPr>
          <w:rFonts w:ascii="Times New Roman" w:hAnsi="Times New Roman" w:cs="Times New Roman"/>
        </w:rPr>
        <w:t xml:space="preserve">(Harvard University Press, 2018) («Las aplicaciones basadas en blockchain no dependen de [las reglas de los sistemas burocráticos y del aparato regulatorio institucional] para estructurar sus funciones; </w:t>
      </w:r>
      <w:r>
        <w:t xml:space="preserve">dependen, </w:t>
      </w:r>
      <w:r>
        <w:rPr>
          <w:rFonts w:ascii="Times New Roman" w:hAnsi="Times New Roman" w:cs="Times New Roman"/>
        </w:rPr>
        <w:t>en cambio,</w:t>
      </w:r>
      <w:r>
        <w:rPr>
          <w:rFonts w:ascii="Times New Roman" w:hAnsi="Times New Roman" w:cs="Times New Roman"/>
        </w:rPr>
        <w:t xml:space="preserve"> de la lex </w:t>
      </w:r>
      <w:r>
        <w:rPr>
          <w:rFonts w:ascii="Times New Roman" w:hAnsi="Times New Roman" w:cs="Times New Roman"/>
        </w:rPr>
        <w:t xml:space="preserve">cryptographica </w:t>
      </w:r>
      <w:r>
        <w:rPr>
          <w:rFonts w:ascii="Times New Roman" w:hAnsi="Times New Roman" w:cs="Times New Roman"/>
        </w:rPr>
        <w:t xml:space="preserve">para organizar la actividad económica y social»).</w:t>
      </w:r>
    </w:p>
  </w:footnote>
  <w:footnote w:id="47">
    <w:p w:rsidR="004817E5" w:rsidRDefault="00000000" w14:paraId="46964383"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Aaron Wright y Primavera De Filippi, </w:t>
      </w:r>
      <w:r>
        <w:t>Decentralized</w:t>
      </w:r>
      <w:r>
        <w:rPr>
          <w:rFonts w:ascii="Times New Roman" w:hAnsi="Times New Roman" w:cs="Times New Roman"/>
          <w:i/>
          <w:iCs/>
        </w:rPr>
        <w:t xml:space="preserve"> Blockchain Technology and the Rise of Lex </w:t>
      </w:r>
      <w:r>
        <w:t>Cryptographia</w:t>
      </w:r>
      <w:r>
        <w:rPr>
          <w:rFonts w:ascii="Times New Roman" w:hAnsi="Times New Roman" w:cs="Times New Roman"/>
        </w:rPr>
        <w:t xml:space="preserve"> (2015, última </w:t>
      </w:r>
      <w:r>
        <w:t>rev.</w:t>
      </w:r>
      <w:r>
        <w:rPr>
          <w:rFonts w:ascii="Times New Roman" w:hAnsi="Times New Roman" w:cs="Times New Roman"/>
        </w:rPr>
        <w:t xml:space="preserve"> 25 de julio de 2017); disponible en [https://papers.ssrn.com/sol3/papers.cfm?abstract_id=2580664] («Por ahora, </w:t>
      </w:r>
      <w:r>
        <w:t>son</w:t>
      </w:r>
      <w:r>
        <w:rPr>
          <w:rFonts w:ascii="Times New Roman" w:hAnsi="Times New Roman" w:cs="Times New Roman"/>
        </w:rPr>
        <w:t xml:space="preserve"> seres humanos </w:t>
      </w:r>
      <w:r>
        <w:t xml:space="preserve">quienes </w:t>
      </w:r>
      <w:r>
        <w:rPr>
          <w:rFonts w:ascii="Times New Roman" w:hAnsi="Times New Roman" w:cs="Times New Roman"/>
        </w:rPr>
        <w:t xml:space="preserve">dirigen estas organizaciones. Sin embargo, eso podría cambiar pronto, a medida que las funcionalidades </w:t>
      </w:r>
      <w:r>
        <w:t>a cargo de</w:t>
      </w:r>
      <w:r>
        <w:rPr>
          <w:rFonts w:ascii="Times New Roman" w:hAnsi="Times New Roman" w:cs="Times New Roman"/>
        </w:rPr>
        <w:t xml:space="preserve"> humanos sean </w:t>
      </w:r>
      <w:r>
        <w:t>sustituidas</w:t>
      </w:r>
      <w:r>
        <w:rPr>
          <w:rFonts w:ascii="Times New Roman" w:hAnsi="Times New Roman" w:cs="Times New Roman"/>
        </w:rPr>
        <w:t xml:space="preserve"> por software que opera </w:t>
      </w:r>
      <w:r>
        <w:t>sobre</w:t>
      </w:r>
      <w:r>
        <w:rPr>
          <w:rFonts w:ascii="Times New Roman" w:hAnsi="Times New Roman" w:cs="Times New Roman"/>
        </w:rPr>
        <w:t xml:space="preserve"> una cadena de </w:t>
      </w:r>
      <w:r>
        <w:t>bloques»).</w:t>
      </w:r>
    </w:p>
  </w:footnote>
  <w:footnote w:id="48">
    <w:p w:rsidR="004817E5" w:rsidRDefault="00000000" w14:paraId="0DA8CFE2"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Véase Nicolae </w:t>
      </w:r>
      <w:r>
        <w:rPr>
          <w:rFonts w:ascii="Times New Roman" w:hAnsi="Times New Roman" w:cs="Times New Roman"/>
        </w:rPr>
        <w:t xml:space="preserve">Tapus </w:t>
      </w:r>
      <w:r>
        <w:rPr>
          <w:rFonts w:ascii="Times New Roman" w:hAnsi="Times New Roman" w:cs="Times New Roman"/>
        </w:rPr>
        <w:t xml:space="preserve">y Manuel Adelin Manolache, </w:t>
      </w:r>
      <w:r>
        <w:t>Integrated</w:t>
      </w:r>
      <w:r>
        <w:rPr>
          <w:rFonts w:ascii="Times New Roman" w:hAnsi="Times New Roman" w:cs="Times New Roman"/>
          <w:i/>
          <w:iCs/>
        </w:rPr>
        <w:t xml:space="preserve"> Decision Making Using </w:t>
      </w:r>
      <w:r>
        <w:t>Blockchain</w:t>
      </w:r>
      <w:r>
        <w:rPr>
          <w:rFonts w:ascii="Times New Roman" w:hAnsi="Times New Roman" w:cs="Times New Roman"/>
        </w:rPr>
        <w:t xml:space="preserve">, 162 </w:t>
      </w:r>
      <w:r>
        <w:rPr>
          <w:rFonts w:ascii="Times New Roman" w:hAnsi="Times New Roman" w:cs="Times New Roman"/>
          <w:smallCaps/>
        </w:rPr>
        <w:t xml:space="preserve">Procedia </w:t>
      </w:r>
      <w:r>
        <w:rPr>
          <w:rFonts w:ascii="Times New Roman" w:hAnsi="Times New Roman" w:cs="Times New Roman"/>
          <w:smallCaps/>
        </w:rPr>
        <w:t xml:space="preserve">Computer </w:t>
      </w:r>
      <w:r>
        <w:rPr>
          <w:rFonts w:ascii="Times New Roman" w:hAnsi="Times New Roman" w:cs="Times New Roman"/>
          <w:smallCaps/>
        </w:rPr>
        <w:t xml:space="preserve">Science</w:t>
      </w:r>
      <w:r>
        <w:rPr>
          <w:rFonts w:ascii="Times New Roman" w:hAnsi="Times New Roman" w:cs="Times New Roman"/>
        </w:rPr>
        <w:t xml:space="preserve"> 587-595 (2019). Véase, en general, Anna Huggins, </w:t>
      </w:r>
      <w:r>
        <w:t>Addressing</w:t>
      </w:r>
      <w:r>
        <w:rPr>
          <w:rFonts w:ascii="Times New Roman" w:hAnsi="Times New Roman" w:cs="Times New Roman"/>
          <w:i/>
          <w:iCs/>
        </w:rPr>
        <w:t xml:space="preserve"> disconnection: Automated decision-making, administrative law and regulatory </w:t>
      </w:r>
      <w:r>
        <w:t>reform</w:t>
      </w:r>
      <w:r>
        <w:rPr>
          <w:rFonts w:ascii="Times New Roman" w:hAnsi="Times New Roman" w:cs="Times New Roman"/>
        </w:rPr>
        <w:t xml:space="preserve">, 44(3) </w:t>
      </w:r>
      <w:r>
        <w:rPr>
          <w:rFonts w:ascii="Times New Roman" w:hAnsi="Times New Roman" w:cs="Times New Roman"/>
          <w:smallCaps/>
        </w:rPr>
        <w:t xml:space="preserve">The </w:t>
      </w:r>
      <w:r>
        <w:rPr>
          <w:rFonts w:ascii="Times New Roman" w:hAnsi="Times New Roman" w:cs="Times New Roman"/>
          <w:smallCaps/>
        </w:rPr>
        <w:t xml:space="preserve">University of </w:t>
      </w:r>
      <w:r>
        <w:rPr>
          <w:rFonts w:ascii="Times New Roman" w:hAnsi="Times New Roman" w:cs="Times New Roman"/>
          <w:smallCaps/>
        </w:rPr>
        <w:t xml:space="preserve">New </w:t>
      </w:r>
      <w:r>
        <w:rPr>
          <w:rFonts w:ascii="Times New Roman" w:hAnsi="Times New Roman" w:cs="Times New Roman"/>
          <w:smallCaps/>
        </w:rPr>
        <w:t xml:space="preserve">South </w:t>
      </w:r>
      <w:r>
        <w:rPr>
          <w:rFonts w:ascii="Times New Roman" w:hAnsi="Times New Roman" w:cs="Times New Roman"/>
          <w:smallCaps/>
        </w:rPr>
        <w:t xml:space="preserve">Wales </w:t>
      </w:r>
      <w:r>
        <w:rPr>
          <w:rFonts w:ascii="Times New Roman" w:hAnsi="Times New Roman" w:cs="Times New Roman"/>
          <w:smallCaps/>
        </w:rPr>
        <w:t xml:space="preserve">Law </w:t>
      </w:r>
      <w:r>
        <w:rPr>
          <w:rFonts w:ascii="Times New Roman" w:hAnsi="Times New Roman" w:cs="Times New Roman"/>
          <w:smallCaps/>
        </w:rPr>
        <w:t xml:space="preserve">Journal</w:t>
      </w:r>
      <w:r>
        <w:rPr>
          <w:rFonts w:ascii="Times New Roman" w:hAnsi="Times New Roman" w:cs="Times New Roman"/>
        </w:rPr>
        <w:t xml:space="preserve"> 1048-1077 (2021); Reuben Binns, </w:t>
      </w:r>
      <w:r>
        <w:t>Human Judgment in algorithmic loops</w:t>
      </w:r>
      <w:r>
        <w:rPr>
          <w:rFonts w:ascii="Times New Roman" w:hAnsi="Times New Roman" w:cs="Times New Roman"/>
          <w:i/>
          <w:iCs/>
        </w:rPr>
        <w:t xml:space="preserve">: </w:t>
      </w:r>
      <w:r>
        <w:t>Individual justice and automated decision-making</w:t>
      </w:r>
      <w:r>
        <w:rPr>
          <w:rFonts w:ascii="Times New Roman" w:hAnsi="Times New Roman" w:cs="Times New Roman"/>
        </w:rPr>
        <w:t xml:space="preserve">, 16(1) </w:t>
      </w:r>
      <w:r>
        <w:rPr>
          <w:rFonts w:ascii="Times New Roman" w:hAnsi="Times New Roman" w:cs="Times New Roman"/>
          <w:smallCaps/>
        </w:rPr>
        <w:t xml:space="preserve">Regulation </w:t>
      </w:r>
      <w:r>
        <w:rPr>
          <w:rFonts w:ascii="Times New Roman" w:hAnsi="Times New Roman" w:cs="Times New Roman"/>
        </w:rPr>
        <w:t xml:space="preserve">&amp; </w:t>
      </w:r>
      <w:r>
        <w:rPr>
          <w:rFonts w:ascii="Times New Roman" w:hAnsi="Times New Roman" w:cs="Times New Roman"/>
          <w:smallCaps/>
        </w:rPr>
        <w:t xml:space="preserve">Governance</w:t>
      </w:r>
      <w:r>
        <w:rPr>
          <w:rFonts w:ascii="Times New Roman" w:hAnsi="Times New Roman" w:cs="Times New Roman"/>
        </w:rPr>
        <w:t xml:space="preserve"> 197-211 (2022); David S. Filippi, Bill Tomlinson y Andrew W. Torrance, </w:t>
      </w:r>
      <w:r>
        <w:t>The Law and AI as an “Apex Collaborator</w:t>
      </w:r>
      <w:r>
        <w:rPr>
          <w:rFonts w:ascii="Times New Roman" w:hAnsi="Times New Roman" w:cs="Times New Roman"/>
        </w:rPr>
        <w:t xml:space="preserve">”: </w:t>
      </w:r>
      <w:r>
        <w:t>Legal Frameworks for Optimized Cooperation</w:t>
      </w:r>
      <w:r>
        <w:rPr>
          <w:rFonts w:ascii="Times New Roman" w:hAnsi="Times New Roman" w:cs="Times New Roman"/>
        </w:rPr>
        <w:t>, 20 FIU L. Rev. 887 (2026), https://doi.org/10.25148/lawrev.20.3.7.</w:t>
      </w:r>
    </w:p>
  </w:footnote>
  <w:footnote w:id="49">
    <w:p w:rsidR="004817E5" w:rsidRDefault="00000000" w14:paraId="203BDC08"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Wessel </w:t>
      </w:r>
      <w:r>
        <w:rPr>
          <w:rFonts w:ascii="Times New Roman" w:hAnsi="Times New Roman" w:cs="Times New Roman"/>
        </w:rPr>
        <w:t xml:space="preserve">Reijers</w:t>
      </w:r>
      <w:r>
        <w:rPr>
          <w:rFonts w:ascii="Times New Roman" w:hAnsi="Times New Roman" w:cs="Times New Roman"/>
        </w:rPr>
        <w:t xml:space="preserve">, Iris </w:t>
      </w:r>
      <w:r>
        <w:rPr>
          <w:rFonts w:ascii="Times New Roman" w:hAnsi="Times New Roman" w:cs="Times New Roman"/>
        </w:rPr>
        <w:t xml:space="preserve">Wuisman</w:t>
      </w:r>
      <w:r>
        <w:rPr>
          <w:rFonts w:ascii="Times New Roman" w:hAnsi="Times New Roman" w:cs="Times New Roman"/>
        </w:rPr>
        <w:t xml:space="preserve">, Morshed Mannan, Primavera De Filippi, Christopher Wray, Vienna Rae-Looi, Angela Cubillos Vélez y Liav Orgad, </w:t>
      </w:r>
      <w:r>
        <w:t>Now the Code Runs Itself</w:t>
      </w:r>
      <w:r>
        <w:rPr>
          <w:rFonts w:ascii="Times New Roman" w:hAnsi="Times New Roman" w:cs="Times New Roman"/>
          <w:i/>
          <w:iCs/>
        </w:rPr>
        <w:t xml:space="preserve">: </w:t>
      </w:r>
      <w:r>
        <w:t>On-Chain and Off-Chain Governance of Blockchain Technologies</w:t>
      </w:r>
      <w:r>
        <w:rPr>
          <w:rFonts w:ascii="Times New Roman" w:hAnsi="Times New Roman" w:cs="Times New Roman"/>
          <w:i/>
          <w:iCs/>
        </w:rPr>
        <w:t>,</w:t>
      </w:r>
      <w:r>
        <w:rPr>
          <w:rFonts w:ascii="Times New Roman" w:hAnsi="Times New Roman" w:cs="Times New Roman"/>
        </w:rPr>
        <w:t xml:space="preserve"> 40 </w:t>
      </w:r>
      <w:r>
        <w:rPr>
          <w:rFonts w:ascii="Times New Roman" w:hAnsi="Times New Roman" w:cs="Times New Roman"/>
          <w:smallCaps/>
        </w:rPr>
        <w:t xml:space="preserve">Topoi</w:t>
      </w:r>
      <w:r>
        <w:rPr>
          <w:rFonts w:ascii="Times New Roman" w:hAnsi="Times New Roman" w:cs="Times New Roman"/>
        </w:rPr>
        <w:t xml:space="preserve"> 821-831 (2021).</w:t>
      </w:r>
    </w:p>
  </w:footnote>
  <w:footnote w:id="50">
    <w:p w:rsidR="004817E5" w:rsidRDefault="00000000" w14:paraId="3374EAF6"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El concepto </w:t>
      </w:r>
      <w:r>
        <w:rPr>
          <w:rFonts w:ascii="Times New Roman" w:hAnsi="Times New Roman" w:cs="Times New Roman"/>
        </w:rPr>
        <w:t>es</w:t>
      </w:r>
      <w:r>
        <w:t xml:space="preserve"> ya</w:t>
      </w:r>
      <w:r>
        <w:rPr>
          <w:rFonts w:ascii="Times New Roman" w:hAnsi="Times New Roman" w:cs="Times New Roman"/>
        </w:rPr>
        <w:t xml:space="preserve"> antiguo en la literatura</w:t>
      </w:r>
      <w:r>
        <w:rPr>
          <w:rFonts w:ascii="Times New Roman" w:hAnsi="Times New Roman" w:cs="Times New Roman"/>
        </w:rPr>
        <w:t xml:space="preserve">. Véase, por ejemplo, Peter Naur, </w:t>
      </w:r>
      <w:r>
        <w:t>Programming</w:t>
      </w:r>
      <w:r>
        <w:rPr>
          <w:rFonts w:ascii="Times New Roman" w:hAnsi="Times New Roman" w:cs="Times New Roman"/>
          <w:i/>
          <w:iCs/>
        </w:rPr>
        <w:t xml:space="preserve"> as Theory </w:t>
      </w:r>
      <w:r>
        <w:t>Building</w:t>
      </w:r>
      <w:r>
        <w:rPr>
          <w:rFonts w:ascii="Times New Roman" w:hAnsi="Times New Roman" w:cs="Times New Roman"/>
        </w:rPr>
        <w:t xml:space="preserve">, 15(5) </w:t>
      </w:r>
      <w:r>
        <w:rPr>
          <w:rFonts w:ascii="Times New Roman" w:hAnsi="Times New Roman" w:cs="Times New Roman"/>
          <w:smallCaps/>
        </w:rPr>
        <w:t xml:space="preserve">Microprocessing </w:t>
      </w:r>
      <w:r>
        <w:rPr>
          <w:rFonts w:ascii="Times New Roman" w:hAnsi="Times New Roman" w:cs="Times New Roman"/>
          <w:smallCaps/>
        </w:rPr>
        <w:t xml:space="preserve">and </w:t>
      </w:r>
      <w:r>
        <w:rPr>
          <w:rFonts w:ascii="Times New Roman" w:hAnsi="Times New Roman" w:cs="Times New Roman"/>
          <w:smallCaps/>
        </w:rPr>
        <w:t xml:space="preserve">Microprogramming</w:t>
      </w:r>
      <w:r>
        <w:rPr>
          <w:rFonts w:ascii="Times New Roman" w:hAnsi="Times New Roman" w:cs="Times New Roman"/>
        </w:rPr>
        <w:t xml:space="preserve"> 253-261 (1985) (el </w:t>
      </w:r>
      <w:r>
        <w:t>objeto</w:t>
      </w:r>
      <w:r>
        <w:rPr>
          <w:rFonts w:ascii="Times New Roman" w:hAnsi="Times New Roman" w:cs="Times New Roman"/>
        </w:rPr>
        <w:t xml:space="preserve"> de la codificación no es la programación, sino la producción de teorías ejecutables de sistemas diseñados para </w:t>
      </w:r>
      <w:r>
        <w:t>producir</w:t>
      </w:r>
      <w:r>
        <w:rPr>
          <w:rFonts w:ascii="Times New Roman" w:hAnsi="Times New Roman" w:cs="Times New Roman"/>
        </w:rPr>
        <w:t xml:space="preserve"> resultados </w:t>
      </w:r>
      <w:r>
        <w:t>iterativamente consistentes</w:t>
      </w:r>
      <w:r>
        <w:rPr>
          <w:rFonts w:ascii="Times New Roman" w:hAnsi="Times New Roman" w:cs="Times New Roman"/>
        </w:rPr>
        <w:t>).</w:t>
      </w:r>
    </w:p>
  </w:footnote>
  <w:footnote w:id="51">
    <w:p w:rsidR="00277770" w:rsidRDefault="00277770" w14:paraId="187348D9" w14:textId="60D49EFD">
      <w:pPr>
        <w:pStyle w:val="FootnoteText"/>
      </w:pPr>
      <w:r>
        <w:rPr>
          <w:rStyle w:val="FootnoteReference"/>
        </w:rPr>
        <w:footnoteRef/>
      </w:r>
      <w:r>
        <w:fldChar w:fldCharType="begin"/>
      </w:r>
      <w:r w:rsidR="003F6FF0">
        <w:instrText xml:space="preserve"> ADDIN ZOTERO_ITEM CSL_CITATION {"citationID":"ZszZ7A1U","properties":{"formattedCitation":"{\\scaps Primavera De Filippi &amp; Aaron Wright}, {\\scaps Blockchain and the Law: The Rule of Code} (2018).","plainCitation":"Primavera De Filippi &amp; Aaron Wright, Blockchain and the Law: The Rule of Code (2018).","noteIndex":28},"citationItems":[{"id":24,"uris":["http://zotero.org/users/20142566/items/Y8WDYCHT"],"itemData":{"id":24,"type":"book","abstract":"Blockchain technology enables the creation of decentralized currencies, decentralized applications powered by smart contracts, self-executing digital agreements, and intelligent assets that can be controlled over the Internet. Blockchains also enable the development of new governance systems with more democratic or participatory decision-making, and decentralized (autonomous) organizations that can operate over a network of computers without any human intervention. These applications have led many to compare the blockchain to the Internet, with accompanying predictions that this technology will shift the balance of power away from centralized authorities in the field of communications, business, and even politics or law. Blockchain and the Law explores the benefits and drawbacks of this emerging decentralized technology and argues that its widespread deployment will lead to expansion of what we term lex cryptographia: rules administered through self-executing smart contracts.--","call-number":"QA76.9.D32 D44 2018","ISBN":"978-0-674-97642-9","language":"en","number-of-pages":"300","publisher":"Harvard University Press","publisher-place":"Cambridge, Massachusetts","source":"Library of Congress ISBN","title":"Blockchain and the Law: The Rule of Code","title-short":"Blockchain and the law","author":[{"family":"De Filippi","given":"Primavera"},{"family":"Wright","given":"Aaron"}],"issued":{"date-parts":[["2018"]]}}}],"schema":"https://github.com/citation-style-language/schema/raw/master/csl-citation.json"} </w:instrText>
      </w:r>
      <w:r>
        <w:fldChar w:fldCharType="separate"/>
      </w:r>
      <w:r w:rsidRPr="00277770">
        <w:rPr>
          <w:rFonts w:cs="Times New Roman"/>
          <w:smallCaps/>
          <w:kern w:val="0"/>
          <w:lang w:bidi="yi-Hebr"/>
        </w:rPr>
        <w:t xml:space="preserve"> Primavera De Filippi y Aaron Wright</w:t>
      </w:r>
      <w:r>
        <w:rPr>
          <w:rFonts w:cs="Times New Roman"/>
          <w:kern w:val="0"/>
          <w:lang w:bidi="yi-Hebr"/>
        </w:rPr>
        <w:t>,</w:t>
      </w:r>
      <w:r>
        <w:rPr>
          <w:rFonts w:cs="Times New Roman"/>
          <w:smallCaps/>
          <w:kern w:val="0"/>
          <w:lang w:bidi="yi-Hebr"/>
        </w:rPr>
        <w:t xml:space="preserve"> </w:t>
      </w:r>
      <w:r>
        <w:t>Blockchain and the Law</w:t>
      </w:r>
      <w:r>
        <w:rPr>
          <w:rFonts w:cs="Times New Roman"/>
          <w:smallCaps/>
          <w:kern w:val="0"/>
          <w:lang w:bidi="yi-Hebr"/>
        </w:rPr>
        <w:t xml:space="preserve">: </w:t>
      </w:r>
      <w:r>
        <w:t>The Rule of Code</w:t>
      </w:r>
      <w:r w:rsidRPr="00277770">
        <w:rPr>
          <w:rFonts w:cs="Times New Roman"/>
          <w:kern w:val="0"/>
          <w:lang w:bidi="yi-Hebr"/>
        </w:rPr>
        <w:t xml:space="preserve"> (2018).</w:t>
      </w:r>
      <w:r>
        <w:fldChar w:fldCharType="end"/>
      </w:r>
    </w:p>
  </w:footnote>
  <w:footnote w:id="52">
    <w:p w:rsidRPr="004E3A22" w:rsidR="00033443" w:rsidRDefault="00033443" w14:paraId="6147E7D0" w14:textId="049F2FF5">
      <w:pPr>
        <w:pStyle w:val="FootnoteText"/>
        <w:rPr>
          <w:rFonts w:ascii="Cambria" w:hAnsi="Cambria"/>
        </w:rPr>
      </w:pPr>
      <w:r>
        <w:rPr>
          <w:rStyle w:val="FootnoteReference"/>
        </w:rPr>
        <w:footnoteRef/>
      </w:r>
      <w:r>
        <w:t xml:space="preserve"> Véanse, en general, los ensayos en David Nunan y Julie Choi (eds.), </w:t>
      </w:r>
      <w:r w:rsidRPr="004E3A22">
        <w:rPr>
          <w:smallCaps/>
        </w:rPr>
        <w:t xml:space="preserve">Language and Culture: Reflective Narratives and the Emergence of Identity </w:t>
      </w:r>
      <w:r w:rsidRPr="004E3A22">
        <w:t xml:space="preserve">(Routledge, 2010)</w:t>
      </w:r>
      <w:r w:rsidR="00D77B91">
        <w:t xml:space="preserve">; los ensayos en Klarissa Lueg y Marianne Wolff Lundholt (eds.), </w:t>
      </w:r>
      <w:r w:rsidRPr="004E3A22" w:rsidR="00D77B91">
        <w:rPr>
          <w:smallCaps/>
        </w:rPr>
        <w:t xml:space="preserve">Routledge Handbook of Counter-Narratives </w:t>
      </w:r>
      <w:r w:rsidR="00D77B91">
        <w:t xml:space="preserve">(Routledge, 2021)</w:t>
      </w:r>
      <w:r w:rsidRPr="004E3A22">
        <w:t xml:space="preserve">. </w:t>
      </w:r>
      <w:r w:rsidRPr="004E3A22">
        <w:rPr>
          <w:rFonts w:ascii="Cambria" w:hAnsi="Cambria"/>
        </w:rPr>
        <w:t xml:space="preserve"> </w:t>
      </w:r>
    </w:p>
  </w:footnote>
  <w:footnote w:id="53">
    <w:p w:rsidRPr="00033443" w:rsidR="00033443" w:rsidRDefault="00033443" w14:paraId="507B388C" w14:textId="3BBE3272">
      <w:pPr>
        <w:pStyle w:val="FootnoteText"/>
      </w:pPr>
      <w:r>
        <w:rPr>
          <w:rStyle w:val="FootnoteReference"/>
        </w:rPr>
        <w:footnoteRef/>
      </w:r>
      <w:r>
        <w:t xml:space="preserve"> </w:t>
      </w:r>
      <w:r w:rsidR="00D77B91">
        <w:t xml:space="preserve">Véase </w:t>
      </w:r>
      <w:r>
        <w:rPr>
          <w:smallCaps/>
        </w:rPr>
        <w:t xml:space="preserve">James Elkins, </w:t>
      </w:r>
      <w:r>
        <w:t>Master Narratives and Their Discontents</w:t>
      </w:r>
      <w:r>
        <w:t xml:space="preserve"> (Routledge, 2005)</w:t>
      </w:r>
      <w:r w:rsidR="00063A01">
        <w:t xml:space="preserve">; Timothy Kuhn, </w:t>
      </w:r>
      <w:r>
        <w:t>Communicatively Constituting Organizational Unfolding through Counter-Narrative</w:t>
      </w:r>
      <w:r>
        <w:t>, en</w:t>
      </w:r>
      <w:r>
        <w:t xml:space="preserve"> Counter Narratives and Organization</w:t>
      </w:r>
      <w:r>
        <w:t xml:space="preserve"> 17-42 (Suanne Frandsen, Timothy Kuhn y Marianne Wolff Lundholt, Routledge, 2017)</w:t>
      </w:r>
      <w:r w:rsidR="00D77B91">
        <w:t xml:space="preserve">.</w:t>
      </w:r>
    </w:p>
  </w:footnote>
  <w:footnote w:id="54">
    <w:p w:rsidRPr="00033443" w:rsidR="00033443" w:rsidRDefault="00033443" w14:paraId="4311953D" w14:textId="058A094C">
      <w:pPr>
        <w:pStyle w:val="FootnoteText"/>
      </w:pPr>
      <w:r>
        <w:rPr>
          <w:rStyle w:val="FootnoteReference"/>
        </w:rPr>
        <w:footnoteRef/>
      </w:r>
      <w:r>
        <w:t xml:space="preserve"> </w:t>
      </w:r>
      <w:r>
        <w:rPr>
          <w:rFonts w:ascii="Times New Roman" w:hAnsi="Times New Roman" w:cs="Times New Roman"/>
        </w:rPr>
        <w:t xml:space="preserve">Véase Claus </w:t>
      </w:r>
      <w:r>
        <w:rPr>
          <w:rFonts w:ascii="Times New Roman" w:hAnsi="Times New Roman" w:cs="Times New Roman"/>
        </w:rPr>
        <w:t xml:space="preserve">Beisbart</w:t>
      </w:r>
      <w:r>
        <w:rPr>
          <w:rFonts w:ascii="Times New Roman" w:hAnsi="Times New Roman" w:cs="Times New Roman"/>
          <w:i/>
          <w:iCs/>
        </w:rPr>
        <w:t xml:space="preserve">, </w:t>
      </w:r>
      <w:r>
        <w:t>In Which Ways Is Machine Learning Opaque?,</w:t>
      </w:r>
      <w:r>
        <w:rPr>
          <w:rFonts w:ascii="Times New Roman" w:hAnsi="Times New Roman" w:cs="Times New Roman"/>
          <w:i/>
          <w:iCs/>
        </w:rPr>
        <w:t xml:space="preserve"> </w:t>
      </w:r>
      <w:r>
        <w:rPr>
          <w:rFonts w:ascii="Times New Roman" w:hAnsi="Times New Roman" w:cs="Times New Roman"/>
        </w:rPr>
        <w:t xml:space="preserve">en </w:t>
      </w:r>
      <w:r>
        <w:t>Philosophy of Science for Machine Learning</w:t>
      </w:r>
      <w:r>
        <w:rPr>
          <w:rFonts w:ascii="Times New Roman" w:hAnsi="Times New Roman" w:cs="Times New Roman"/>
        </w:rPr>
        <w:t xml:space="preserve"> 3-24 (Juan M. Durán y Giorgia Pozzi</w:t>
      </w:r>
      <w:r>
        <w:t>,</w:t>
      </w:r>
      <w:r>
        <w:rPr>
          <w:rFonts w:ascii="Times New Roman" w:hAnsi="Times New Roman" w:cs="Times New Roman"/>
        </w:rPr>
        <w:t xml:space="preserve"> </w:t>
      </w:r>
      <w:r>
        <w:t>eds.,</w:t>
      </w:r>
      <w:r>
        <w:rPr>
          <w:rFonts w:ascii="Times New Roman" w:hAnsi="Times New Roman" w:cs="Times New Roman"/>
        </w:rPr>
        <w:t xml:space="preserve"> Springer Nature, 2026).</w:t>
      </w:r>
    </w:p>
  </w:footnote>
  <w:footnote w:id="55">
    <w:p w:rsidR="003B4412" w:rsidRDefault="003B4412" w14:paraId="619EDB6D" w14:textId="00E89AD2">
      <w:pPr>
        <w:pStyle w:val="FootnoteText"/>
      </w:pPr>
      <w:r>
        <w:rPr>
          <w:rStyle w:val="FootnoteReference"/>
        </w:rPr>
        <w:footnoteRef/>
      </w:r>
      <w:r>
        <w:fldChar w:fldCharType="begin"/>
      </w:r>
      <w:r w:rsidR="00C04038">
        <w:instrText xml:space="preserve"> ADDIN ZOTERO_ITEM CSL_CITATION {"citationID":"a3ISKYy5","properties":{"formattedCitation":"Linus Nyman &amp; Juho Lindman, {\\i{}Code Forking, Governance, and Sustainability in Open Source Software} (2013).","plainCitation":"Linus Nyman &amp; Juho Lindman, Code Forking, Governance, and Sustainability in Open Source Software (2013).","noteIndex":27},"citationItems":[{"id":156,"uris":["http://zotero.org/users/20142566/items/MGP5GFZL"],"itemData":{"id":156,"type":"article-journal","language":"en","source":"Zotero","title":"Code Forking, Governance, and Sustainability in Open Source Software","author":[{"family":"Nyman","given":"Linus"},{"family":"Lindman","given":"Juho"}],"issued":{"date-parts":[["2013"]]}}}],"schema":"https://github.com/citation-style-language/schema/raw/master/csl-citation.json"} </w:instrText>
      </w:r>
      <w:r>
        <w:fldChar w:fldCharType="separate"/>
      </w:r>
      <w:r w:rsidRPr="003B4412">
        <w:rPr>
          <w:rFonts w:cs="Times New Roman"/>
          <w:kern w:val="0"/>
          <w:lang w:bidi="yi-Hebr"/>
        </w:rPr>
        <w:t xml:space="preserve"> Linus Nyman y Juho Lindman, </w:t>
      </w:r>
      <w:r>
        <w:t>Code Forking, Governance</w:t>
      </w:r>
      <w:r>
        <w:rPr>
          <w:rFonts w:cs="Times New Roman"/>
          <w:i/>
          <w:iCs/>
          <w:kern w:val="0"/>
          <w:lang w:bidi="yi-Hebr"/>
        </w:rPr>
        <w:t xml:space="preserve">, </w:t>
      </w:r>
      <w:r>
        <w:t>and Sustainability in Open Source Software</w:t>
      </w:r>
      <w:r w:rsidRPr="003B4412">
        <w:rPr>
          <w:rFonts w:cs="Times New Roman"/>
          <w:kern w:val="0"/>
          <w:lang w:bidi="yi-Hebr"/>
        </w:rPr>
        <w:t xml:space="preserve"> (2013).</w:t>
      </w:r>
      <w:r>
        <w:fldChar w:fldCharType="end"/>
      </w:r>
    </w:p>
  </w:footnote>
  <w:footnote w:id="56">
    <w:p w:rsidRPr="00EF62D0" w:rsidR="008C1B64" w:rsidRDefault="008C1B64" w14:paraId="25643059" w14:textId="3D15D4B3">
      <w:pPr>
        <w:pStyle w:val="FootnoteText"/>
        <w:rPr>
          <w:rFonts w:ascii="Times New Roman" w:hAnsi="Times New Roman" w:cs="Times New Roman"/>
        </w:rPr>
      </w:pPr>
      <w:r w:rsidRPr="00EF62D0">
        <w:rPr>
          <w:rStyle w:val="FootnoteReference"/>
          <w:rFonts w:ascii="Times New Roman" w:hAnsi="Times New Roman" w:cs="Times New Roman"/>
        </w:rPr>
        <w:footnoteRef/>
      </w:r>
      <w:r w:rsidRPr="00EF62D0">
        <w:rPr>
          <w:rFonts w:ascii="Times New Roman" w:hAnsi="Times New Roman" w:cs="Times New Roman"/>
        </w:rPr>
        <w:t xml:space="preserve"> Además de la resistencia y la bifurcación en la práctica </w:t>
      </w:r>
      <w:r w:rsidRPr="00EF62D0" w:rsidR="00DD59B7">
        <w:rPr>
          <w:rFonts w:ascii="Times New Roman" w:hAnsi="Times New Roman" w:cs="Times New Roman"/>
        </w:rPr>
        <w:t xml:space="preserve">(los usuarios </w:t>
      </w:r>
      <w:r w:rsidRPr="00EF62D0">
        <w:rPr>
          <w:rFonts w:ascii="Times New Roman" w:hAnsi="Times New Roman" w:cs="Times New Roman"/>
        </w:rPr>
        <w:t xml:space="preserve">que no estén de acuerdo con un programador o código maestro podrían bifurcar la cadena de todos modos y no se podría imponer un código maestro), también podría presentarse un punto único de falla, por lo que toda la cadena se vería corrompida.</w:t>
      </w:r>
    </w:p>
  </w:footnote>
  <w:footnote w:id="57">
    <w:p w:rsidR="00A86225" w:rsidRDefault="00A86225" w14:paraId="686E4F68" w14:textId="5E9457E8">
      <w:pPr>
        <w:pStyle w:val="FootnoteText"/>
      </w:pPr>
      <w:r>
        <w:rPr>
          <w:rStyle w:val="FootnoteReference"/>
        </w:rPr>
        <w:footnoteRef/>
      </w:r>
      <w:r>
        <w:fldChar w:fldCharType="begin"/>
      </w:r>
      <w:r w:rsidR="00C04038">
        <w:instrText xml:space="preserve"> ADDIN ZOTERO_ITEM CSL_CITATION {"citationID":"DVqcgNol","properties":{"formattedCitation":"Maxime Doyon, {\\i{}Normativity, as a Concept in Phenomenology}, {\\i{}in} {\\scaps Encyclopedia of Phenomenology} 1 (Nicolas De Warren &amp; Ted Toadvine eds., 2025), https://link.springer.com/10.1007/978-3-030-47253-5_186-1.","plainCitation":"Maxime Doyon, Normativity, as a Concept in Phenomenology, in Encyclopedia of Phenomenology 1 (Nicolas De Warren &amp; Ted Toadvine eds., 2025), https://link.springer.com/10.1007/978-3-030-47253-5_186-1.","noteIndex":29},"citationItems":[{"id":155,"uris":["http://zotero.org/users/20142566/items/Z6PA5AKY"],"itemData":{"id":155,"type":"chapter","container-title":"Encyclopedia of Phenomenology","DOI":"10.1007/978-3-030-47253-5_186-1","ISBN":"978-3-030-47253-5","language":"en","page":"1-9","publisher":"Springer International Publishing","publisher-place":"Cham","source":"DOI.org (Crossref)","title":"Normativity, as a Concept in Phenomenology","URL":"https://link.springer.com/10.1007/978-3-030-47253-5_186-1","editor":[{"family":"De Warren","given":"Nicolas"},{"family":"Toadvine","given":"Ted"}],"author":[{"family":"Doyon","given":"Maxime"}],"accessed":{"date-parts":[["2026",4,13]]},"issued":{"date-parts":[["2025"]]}}}],"schema":"https://github.com/citation-style-language/schema/raw/master/csl-citation.json"} </w:instrText>
      </w:r>
      <w:r>
        <w:fldChar w:fldCharType="separate"/>
      </w:r>
      <w:r w:rsidRPr="00A86225">
        <w:rPr>
          <w:rFonts w:cs="Times New Roman"/>
          <w:kern w:val="0"/>
          <w:lang w:bidi="yi-Hebr"/>
        </w:rPr>
        <w:t xml:space="preserve"> Maxime Doyon, </w:t>
      </w:r>
      <w:r>
        <w:t>Normativity, as a Concept in Phenomenology,</w:t>
      </w:r>
      <w:r>
        <w:rPr>
          <w:rFonts w:cs="Times New Roman"/>
          <w:i/>
          <w:iCs/>
          <w:kern w:val="0"/>
          <w:lang w:bidi="yi-Hebr"/>
        </w:rPr>
        <w:t xml:space="preserve"> </w:t>
      </w:r>
      <w:r>
        <w:rPr>
          <w:rFonts w:cs="Times New Roman"/>
          <w:i/>
          <w:iCs/>
          <w:kern w:val="0"/>
          <w:lang w:bidi="yi-Hebr"/>
        </w:rPr>
        <w:t xml:space="preserve">en </w:t>
      </w:r>
      <w:r>
        <w:t>Encyclopedia of Phenomenology</w:t>
      </w:r>
      <w:r w:rsidRPr="00A86225">
        <w:rPr>
          <w:rFonts w:cs="Times New Roman"/>
          <w:kern w:val="0"/>
          <w:lang w:bidi="yi-Hebr"/>
        </w:rPr>
        <w:t xml:space="preserve"> 1 (Nicolas De Warren y Ted Toadvine, eds., 2025), https://link.springer.com/10.1007/978-3-030-47253-5_186-1.</w:t>
      </w:r>
      <w:r>
        <w:fldChar w:fldCharType="end"/>
      </w:r>
    </w:p>
  </w:footnote>
  <w:footnote w:id="58">
    <w:p w:rsidR="000A1DD9" w:rsidRDefault="000A1DD9" w14:paraId="01A4AF6A" w14:textId="00757C0B">
      <w:pPr>
        <w:pStyle w:val="FootnoteText"/>
      </w:pPr>
      <w:r>
        <w:rPr>
          <w:rStyle w:val="FootnoteReference"/>
        </w:rPr>
        <w:footnoteRef/>
      </w:r>
      <w:r>
        <w:fldChar w:fldCharType="begin"/>
      </w:r>
      <w:r w:rsidR="00C04038">
        <w:instrText xml:space="preserve"> ADDIN ZOTERO_ITEM CSL_CITATION {"citationID":"XjEETJJW","properties":{"formattedCitation":"Eunsol Choi et al., {\\i{}Decontextualization: Making Sentences Stand-Alone}, 9 {\\scaps Trans. Assoc. Comput. Linguist.} 447 (2021); Bert van Oers, {\\i{}The Fallacy of Decontextualization}, 5 {\\scaps Mind Cult. Act.} 135 (1998).","plainCitation":"Eunsol Choi et al., Decontextualization: Making Sentences Stand-Alone, 9 Trans. Assoc. Comput. Linguist. 447 (2021); Bert van Oers, The Fallacy of Decontextualization, 5 Mind Cult. Act. 135 (1998).","noteIndex":30},"citationItems":[{"id":153,"uris":["http://zotero.org/users/20142566/items/4GSU5YHV"],"itemData":{"id":153,"type":"article-journal","abstract":"Models for question answering, dialogue agents, and summarization often interpret the meaning of a sentence in a rich context and use that meaning in a new context. Taking excerpts of text can be problematic, as key pieces may not be explicit in a local window. We isolate and define the problem of sentence decontextualization: taking a sentence together with its context and rewriting it to be interpretable out of context, while preserving its meaning. We describe an annotation procedure, collect data on the Wikipedia corpus, and use the data to train models to automatically decontextualize sentences. We present preliminary studies that show the value of sentence decontextualization in a user-facing task, and as preprocessing for systems that perform document understanding. We argue that decontextualization is an important subtask in many downstream applications, and that the definitions and resources provided can benefit tasks that operate on sentences that occur in a richer context.","container-title":"Transactions of the Association for Computational Linguistics","DOI":"10.1162/tacl_a_00377","ISSN":"2307-387X","journalAbbreviation":"Transactions of the Association for Computational Linguistics","page":"447-461","source":"Silverchair","title":"Decontextualization: Making Sentences Stand-Alone","title-short":"Decontextualization","volume":"9","author":[{"family":"Choi","given":"Eunsol"},{"family":"Palomaki","given":"Jennimaria"},{"family":"Lamm","given":"Matthew"},{"family":"Kwiatkowski","given":"Tom"},{"family":"Das","given":"Dipanjan"},{"family":"Collins","given":"Michael"}],"issued":{"date-parts":[["2021",4,26]]}}},{"id":154,"uris":["http://zotero.org/users/20142566/items/8FMWZLAQ"],"itemData":{"id":154,"type":"article-journal","abstract":"In this article, I argue against views of the development of abstract thinking that employ the notion of decontextualization. Starting from an assumption that conceives of context as constitutive of meaning, it becomes clear that the notion of \"decontextualization\" is a poor concept that provides little explanation for the developmental process toward meaningful abstract thinking. I propose a conceptualization of the notion of context from an activity point of view and contend that the conscious process of (re)contextualizing—that is, the continuous process of embedding contexts in contexts—can lead to an explanation of the development of meaningful abstract thinking. The process of continuous progressive recontextualizing is described in the article on the basis of how young children expand their play activity toward embedded, more abstract activities.","container-title":"Mind, Culture, and Activity","DOI":"10.1207/s15327884mca0502_7","ISSN":"1074-9039","issue":"2","note":"_eprint: https://doi.org/10.1207/s15327884mca0502_7","page":"135-142","publisher":"Routledge","source":"Taylor and Francis+NEJM","title":"The Fallacy of Decontextualization","volume":"5","author":[{"family":"Oers","given":"Bert","non-dropping-particle":"van"}],"issued":{"date-parts":[["1998",1,1]]}}}],"schema":"https://github.com/citation-style-language/schema/raw/master/csl-citation.json"} </w:instrText>
      </w:r>
      <w:r>
        <w:fldChar w:fldCharType="separate"/>
      </w:r>
      <w:r w:rsidRPr="000A1DD9">
        <w:rPr>
          <w:rFonts w:cs="Times New Roman"/>
          <w:kern w:val="0"/>
          <w:lang w:bidi="yi-Hebr"/>
        </w:rPr>
        <w:t xml:space="preserve"> Eunsol </w:t>
      </w:r>
      <w:r w:rsidRPr="000A1DD9">
        <w:rPr>
          <w:rFonts w:cs="Times New Roman"/>
          <w:kern w:val="0"/>
          <w:lang w:bidi="yi-Hebr"/>
        </w:rPr>
        <w:t xml:space="preserve">Choi et al., </w:t>
      </w:r>
      <w:r>
        <w:t>Decontextualization</w:t>
      </w:r>
      <w:r>
        <w:rPr>
          <w:rFonts w:cs="Times New Roman"/>
          <w:i/>
          <w:iCs/>
          <w:kern w:val="0"/>
          <w:lang w:bidi="yi-Hebr"/>
        </w:rPr>
        <w:t xml:space="preserve">: </w:t>
      </w:r>
      <w:r>
        <w:t>Making Sentences Stand-Alone</w:t>
      </w:r>
      <w:r>
        <w:rPr>
          <w:rFonts w:cs="Times New Roman"/>
          <w:kern w:val="0"/>
          <w:lang w:bidi="yi-Hebr"/>
        </w:rPr>
        <w:t>, 9</w:t>
      </w:r>
      <w:r>
        <w:rPr>
          <w:rFonts w:cs="Times New Roman"/>
          <w:smallCaps/>
          <w:kern w:val="0"/>
          <w:lang w:bidi="yi-Hebr"/>
        </w:rPr>
        <w:t xml:space="preserve"> Trans. </w:t>
      </w:r>
      <w:r>
        <w:t>Assoc. Comput. Linguist.</w:t>
      </w:r>
      <w:r w:rsidRPr="000A1DD9">
        <w:rPr>
          <w:rFonts w:cs="Times New Roman"/>
          <w:kern w:val="0"/>
          <w:lang w:bidi="yi-Hebr"/>
        </w:rPr>
        <w:t xml:space="preserve"> 447 (2021); Bert van </w:t>
      </w:r>
      <w:r w:rsidRPr="000A1DD9">
        <w:rPr>
          <w:rFonts w:cs="Times New Roman"/>
          <w:kern w:val="0"/>
          <w:lang w:bidi="yi-Hebr"/>
        </w:rPr>
        <w:t xml:space="preserve">Oers</w:t>
      </w:r>
      <w:r>
        <w:rPr>
          <w:rFonts w:cs="Times New Roman"/>
          <w:i/>
          <w:iCs/>
          <w:kern w:val="0"/>
          <w:lang w:bidi="yi-Hebr"/>
        </w:rPr>
        <w:t xml:space="preserve">, </w:t>
      </w:r>
      <w:r>
        <w:t>The Fallacy</w:t>
      </w:r>
      <w:r>
        <w:rPr>
          <w:rFonts w:cs="Times New Roman"/>
          <w:kern w:val="0"/>
          <w:lang w:bidi="yi-Hebr"/>
        </w:rPr>
        <w:t xml:space="preserve"> </w:t>
      </w:r>
      <w:r>
        <w:t>of Decontextualization</w:t>
      </w:r>
      <w:r>
        <w:rPr>
          <w:rFonts w:cs="Times New Roman"/>
          <w:kern w:val="0"/>
          <w:lang w:bidi="yi-Hebr"/>
        </w:rPr>
        <w:t>, 5</w:t>
      </w:r>
      <w:r>
        <w:rPr>
          <w:rFonts w:cs="Times New Roman"/>
          <w:smallCaps/>
          <w:kern w:val="0"/>
          <w:lang w:bidi="yi-Hebr"/>
        </w:rPr>
        <w:t xml:space="preserve"> Mind Cult. Act.</w:t>
      </w:r>
      <w:r w:rsidRPr="000A1DD9">
        <w:rPr>
          <w:rFonts w:cs="Times New Roman"/>
          <w:kern w:val="0"/>
          <w:lang w:bidi="yi-Hebr"/>
        </w:rPr>
        <w:t xml:space="preserve"> 135 (1998).</w:t>
      </w:r>
      <w:r>
        <w:fldChar w:fldCharType="end"/>
      </w:r>
    </w:p>
  </w:footnote>
  <w:footnote w:id="59">
    <w:p w:rsidRPr="00EF62D0" w:rsidR="004A0EED" w:rsidP="004E3A22" w:rsidRDefault="004A0EED" w14:paraId="6C9DC28D" w14:textId="098DB058">
      <w:pPr>
        <w:pStyle w:val="CommentText"/>
        <w:rPr>
          <w:rFonts w:ascii="Times New Roman" w:hAnsi="Times New Roman" w:cs="Times New Roman"/>
        </w:rPr>
      </w:pPr>
      <w:r w:rsidRPr="00EF62D0">
        <w:rPr>
          <w:rStyle w:val="FootnoteReference"/>
          <w:rFonts w:ascii="Times New Roman" w:hAnsi="Times New Roman" w:cs="Times New Roman"/>
        </w:rPr>
        <w:footnoteRef/>
      </w:r>
      <w:r w:rsidRPr="00EF62D0">
        <w:rPr>
          <w:rFonts w:ascii="Times New Roman" w:hAnsi="Times New Roman" w:cs="Times New Roman"/>
        </w:rPr>
        <w:t xml:space="preserve"> Si se quiere hablar del sesgo que hay que evitar y celebrar, se podría considerar lo siguiente: las personas que escriben los protocolos de la cadena de bloques toman las decisiones sobre qué transacciones se priorizan, cómo se fijan las tarifas y qué se considera válido; por lo tanto, </w:t>
      </w:r>
      <w:r w:rsidRPr="00EF62D0">
        <w:rPr>
          <w:rFonts w:ascii="Times New Roman" w:hAnsi="Times New Roman" w:cs="Times New Roman"/>
        </w:rPr>
        <w:t xml:space="preserve">se podría dar prioridad a </w:t>
      </w:r>
      <w:r w:rsidRPr="00EF62D0" w:rsidR="00DD59B7">
        <w:rPr>
          <w:rFonts w:ascii="Times New Roman" w:hAnsi="Times New Roman" w:cs="Times New Roman"/>
        </w:rPr>
        <w:t xml:space="preserve">quienes tienen </w:t>
      </w:r>
      <w:r w:rsidRPr="00EF62D0">
        <w:rPr>
          <w:rFonts w:ascii="Times New Roman" w:hAnsi="Times New Roman" w:cs="Times New Roman"/>
        </w:rPr>
        <w:t xml:space="preserve">bloques más pequeños frente a quienes tienen bloques más grandes. (El sesgo queda incorporado en el código). Esto también podría aplicarse a los mecanismos de consenso: (1) Prueba de trabajo: podría favorecer a quienes cuentan con electricidad barata o granjas de minería; y (2) Prueba de participación: prioriza a quienes ya poseen una gran cantidad de tokens (los ricos se hacen más ricos), etc. </w:t>
      </w:r>
    </w:p>
  </w:footnote>
  <w:footnote w:id="60">
    <w:p w:rsidRPr="005A4CCB" w:rsidR="005A4CCB" w:rsidRDefault="005A4CCB" w14:paraId="2D94135C" w14:textId="36D71C1D">
      <w:pPr>
        <w:pStyle w:val="FootnoteText"/>
      </w:pPr>
      <w:r>
        <w:rPr>
          <w:rStyle w:val="FootnoteReference"/>
        </w:rPr>
        <w:footnoteRef/>
      </w:r>
      <w:r>
        <w:t xml:space="preserve"> </w:t>
      </w:r>
      <w:r w:rsidRPr="004E3A22" w:rsidR="00ED3C8C">
        <w:rPr>
          <w:smallCaps/>
        </w:rPr>
        <w:t xml:space="preserve">Lawrence Lessing, </w:t>
      </w:r>
      <w:r>
        <w:t>Code</w:t>
      </w:r>
      <w:r>
        <w:rPr>
          <w:rStyle w:val="Emphasis"/>
          <w:i w:val="0"/>
          <w:iCs w:val="0"/>
          <w:smallCaps/>
        </w:rPr>
        <w:t xml:space="preserve"> and Other Laws of </w:t>
      </w:r>
      <w:r>
        <w:t>Cyberspace</w:t>
      </w:r>
      <w:r>
        <w:t xml:space="preserve"> (Basic Books, 1999).</w:t>
      </w:r>
    </w:p>
  </w:footnote>
  <w:footnote w:id="61">
    <w:p w:rsidRPr="005A4CCB" w:rsidR="005A4CCB" w:rsidP="005A4CCB" w:rsidRDefault="005A4CCB" w14:paraId="4FF6A4E6" w14:textId="4FEF0F7D">
      <w:pPr>
        <w:pStyle w:val="FootnoteText"/>
      </w:pPr>
      <w:r>
        <w:rPr>
          <w:rStyle w:val="FootnoteReference"/>
        </w:rPr>
        <w:footnoteRef/>
      </w:r>
      <w:r>
        <w:t xml:space="preserve"> Primavera De Filippi, Morshed Mannan y Wessel </w:t>
      </w:r>
      <w:r>
        <w:t xml:space="preserve">Reijers</w:t>
      </w:r>
      <w:r>
        <w:t xml:space="preserve">, </w:t>
      </w:r>
      <w:r>
        <w:t>Blockchain Technology and the Rule of Code</w:t>
      </w:r>
      <w:r>
        <w:rPr>
          <w:i/>
          <w:iCs/>
        </w:rPr>
        <w:t xml:space="preserve">: </w:t>
      </w:r>
      <w:r>
        <w:t>Regulation via Governance</w:t>
      </w:r>
      <w:r>
        <w:rPr>
          <w:i/>
          <w:iCs/>
        </w:rPr>
        <w:t>,</w:t>
      </w:r>
      <w:r>
        <w:t xml:space="preserve"> 92 </w:t>
      </w:r>
      <w:r>
        <w:rPr>
          <w:smallCaps/>
        </w:rPr>
        <w:t>Geo. Wash. L. Rev.</w:t>
      </w:r>
      <w:r>
        <w:t xml:space="preserve"> 1229 (2024) («el gobierno por código es un sistema de gobernanza en línea en el que existe un soberano </w:t>
      </w:r>
      <w:r>
        <w:t>(el</w:t>
      </w:r>
      <w:r>
        <w:t xml:space="preserve"> operador en línea, así como los reguladores ante </w:t>
      </w:r>
      <w:r>
        <w:t>quienes este</w:t>
      </w:r>
      <w:r>
        <w:t xml:space="preserve"> debe </w:t>
      </w:r>
      <w:r>
        <w:t>responder)</w:t>
      </w:r>
      <w:r>
        <w:t xml:space="preserve"> que se sitúa por encima del código y, por lo tanto, </w:t>
      </w:r>
      <w:r>
        <w:t>lo utiliza</w:t>
      </w:r>
      <w:r>
        <w:t xml:space="preserve"> para imponer restricciones y limitaciones a los usuarios de </w:t>
      </w:r>
      <w:r>
        <w:t>internet</w:t>
      </w:r>
      <w:r>
        <w:t xml:space="preserve"> sujetos a dicho código», ibíd., 1244</w:t>
      </w:r>
      <w:r>
        <w:t>).</w:t>
      </w:r>
    </w:p>
  </w:footnote>
  <w:footnote w:id="62">
    <w:p w:rsidRPr="00ED3C8C" w:rsidR="00ED3C8C" w:rsidRDefault="00ED3C8C" w14:paraId="27AFD870" w14:textId="395D6BF2">
      <w:pPr>
        <w:pStyle w:val="FootnoteText"/>
      </w:pPr>
      <w:r>
        <w:rPr>
          <w:rStyle w:val="FootnoteReference"/>
        </w:rPr>
        <w:footnoteRef/>
      </w:r>
      <w:r>
        <w:t xml:space="preserve"> </w:t>
      </w:r>
      <w:r w:rsidRPr="004E3A22">
        <w:t xml:space="preserve">Angelica Lindqvist, «Rules as Code—An Open Approach», </w:t>
      </w:r>
      <w:r w:rsidRPr="004E3A22">
        <w:t xml:space="preserve">Comisión</w:t>
      </w:r>
      <w:r w:rsidRPr="004E3A22">
        <w:t xml:space="preserve"> Europea</w:t>
      </w:r>
      <w:r w:rsidRPr="004E3A22">
        <w:t xml:space="preserve">, EU </w:t>
      </w:r>
      <w:r w:rsidRPr="004E3A22">
        <w:t xml:space="preserve">GovTech</w:t>
      </w:r>
      <w:r w:rsidRPr="004E3A22">
        <w:t xml:space="preserve">; disponible en [</w:t>
      </w:r>
      <w:r w:rsidRPr="00ED3C8C">
        <w:t xml:space="preserve">https://interoperable-europe.ec.europa.eu/collection/eugovtech/document/rules-code-open-approach</w:t>
      </w:r>
      <w:r w:rsidRPr="004E3A22" w:rsidR="00DD59B7">
        <w:t xml:space="preserve">].</w:t>
      </w:r>
      <w:r w:rsidR="00DD59B7">
        <w:t xml:space="preserve"> Véase, </w:t>
      </w:r>
      <w:r>
        <w:t xml:space="preserve">en general, Rónán Kennedy, </w:t>
      </w:r>
      <w:r w:rsidRPr="00ED3C8C">
        <w:t xml:space="preserve">«Rules as code and the rule of law: ensuring effective judicial review of administration by software</w:t>
      </w:r>
      <w:r>
        <w:t xml:space="preserve">», 16 </w:t>
      </w:r>
      <w:r w:rsidRPr="004E3A22">
        <w:rPr>
          <w:smallCaps/>
        </w:rPr>
        <w:t xml:space="preserve">Law, Innovation &amp; Technology, págs.</w:t>
      </w:r>
      <w:r>
        <w:t xml:space="preserve"> 170-193 (2024). </w:t>
      </w:r>
    </w:p>
  </w:footnote>
  <w:footnote w:id="63">
    <w:p w:rsidRPr="005A4CCB" w:rsidR="005A4CCB" w:rsidP="00DA7D97" w:rsidRDefault="005A4CCB" w14:paraId="6397CA7B" w14:textId="1B85225C">
      <w:pPr>
        <w:pStyle w:val="FootnoteText"/>
      </w:pPr>
      <w:r>
        <w:rPr>
          <w:rStyle w:val="FootnoteReference"/>
        </w:rPr>
        <w:footnoteRef/>
      </w:r>
      <w:r>
        <w:t xml:space="preserve"> </w:t>
      </w:r>
      <w:r>
        <w:t xml:space="preserve">Para una variación política de la premisa fundamental, y con </w:t>
      </w:r>
      <w:r>
        <w:t>ella</w:t>
      </w:r>
      <w:r>
        <w:t xml:space="preserve"> el </w:t>
      </w:r>
      <w:r>
        <w:t>subrayado del</w:t>
      </w:r>
      <w:r>
        <w:t xml:space="preserve"> fundamentalismo político del </w:t>
      </w:r>
      <w:r>
        <w:t>Estado</w:t>
      </w:r>
      <w:r>
        <w:t xml:space="preserve"> de derecho en y para los sistemas regulatorios, véase Gerald J. </w:t>
      </w:r>
      <w:r>
        <w:t xml:space="preserve">Postema, </w:t>
      </w:r>
      <w:r>
        <w:t>An “Almost Sacred Responsibility</w:t>
      </w:r>
      <w:r>
        <w:rPr>
          <w:i/>
          <w:iCs/>
        </w:rPr>
        <w:t xml:space="preserve">”: </w:t>
      </w:r>
      <w:r>
        <w:t>The Rule of Law in Times of Peril</w:t>
      </w:r>
      <w:r>
        <w:t>,</w:t>
      </w:r>
      <w:r w:rsidR="00ED3C8C">
        <w:t xml:space="preserve"> 107(3) </w:t>
      </w:r>
      <w:r>
        <w:rPr>
          <w:smallCaps/>
        </w:rPr>
        <w:t>Judicature</w:t>
      </w:r>
      <w:r w:rsidR="00DA7D97">
        <w:t xml:space="preserve"> 17-23 (2024).</w:t>
      </w:r>
    </w:p>
  </w:footnote>
  <w:footnote w:id="64">
    <w:p w:rsidRPr="00EF62D0" w:rsidR="00D2463A" w:rsidRDefault="00D2463A" w14:paraId="61C89486" w14:textId="5D83E62E">
      <w:pPr>
        <w:pStyle w:val="FootnoteText"/>
        <w:rPr>
          <w:rFonts w:ascii="Times New Roman" w:hAnsi="Times New Roman" w:cs="Times New Roman"/>
        </w:rPr>
      </w:pPr>
      <w:r w:rsidRPr="00EF62D0">
        <w:rPr>
          <w:rStyle w:val="FootnoteReference"/>
          <w:rFonts w:ascii="Times New Roman" w:hAnsi="Times New Roman" w:cs="Times New Roman"/>
        </w:rPr>
        <w:footnoteRef/>
      </w:r>
      <w:r w:rsidRPr="00EF62D0">
        <w:rPr>
          <w:rFonts w:ascii="Times New Roman" w:hAnsi="Times New Roman" w:cs="Times New Roman"/>
        </w:rPr>
        <w:t xml:space="preserve"> Por ejemplo, cabe suponer que pocos usuarios pueden </w:t>
      </w:r>
      <w:r w:rsidRPr="00EF62D0" w:rsidR="00DD59B7">
        <w:rPr>
          <w:rFonts w:ascii="Times New Roman" w:hAnsi="Times New Roman" w:cs="Times New Roman"/>
        </w:rPr>
        <w:t xml:space="preserve">leer </w:t>
      </w:r>
      <w:r w:rsidRPr="00EF62D0">
        <w:rPr>
          <w:rFonts w:ascii="Times New Roman" w:hAnsi="Times New Roman" w:cs="Times New Roman"/>
        </w:rPr>
        <w:t xml:space="preserve">o comprender los complejos contratos «inteligentes» involucrados, por muy transparentes que sean. La mayoría de los usuarios confía en auditores o desarrolladores, lo que genera esa brecha de rendición de cuentas.</w:t>
      </w:r>
    </w:p>
  </w:footnote>
  <w:footnote w:id="65">
    <w:p w:rsidR="00C4611B" w:rsidRDefault="00C4611B" w14:paraId="6E6B8B6F" w14:textId="04AF3BDB">
      <w:pPr>
        <w:pStyle w:val="FootnoteText"/>
      </w:pPr>
      <w:r>
        <w:rPr>
          <w:rStyle w:val="FootnoteReference"/>
        </w:rPr>
        <w:footnoteRef/>
      </w:r>
      <w:r>
        <w:fldChar w:fldCharType="begin"/>
      </w:r>
      <w:r w:rsidR="00C04038">
        <w:instrText xml:space="preserve"> ADDIN ZOTERO_ITEM CSL_CITATION {"citationID":"wkuKUnS8","properties":{"formattedCitation":"E. D. van Asselt et al., {\\i{}Overview of Available Methods for Risk Based Control within the European Union}, 23 {\\scaps Trends Food Sci. Technol.} 51 (2012); Maria Eduarda Gon\\uc0\\u231{}alves, {\\i{}The Risk-Based Approach under the New EU Data Protection Regulation: A Critical Perspective}, 23 {\\scaps J. Risk Res.} 139 (2020).","plainCitation":"E. D. van Asselt et al., Overview of Available Methods for Risk Based Control within the European Union, 23 Trends Food Sci. Technol. 51 (2012); Maria Eduarda Gonçalves, The Risk-Based Approach under the New EU Data Protection Regulation: A Critical Perspective, 23 J. Risk Res. 139 (2020).","noteIndex":33},"citationItems":[{"id":151,"uris":["http://zotero.org/users/20142566/items/LJE9F33C"],"itemData":{"id":151,"type":"article-journal","abstract":"This paper gives an overview of methods available for implementing Risk Based Control (RBC), consisting of two steps: Risk Categorization (RC) and Risk Based Surveillance (RBS). Various models and approaches are available for prioritizing hazard-food combinations in RC. Economic models and expert elicitation can be used to include the food safety performance of processing companies in RBS, based on historical data, food safety management systems present and the level of compliance. When Member States apply RBC, the methodology used to derive the various scores for RC and RBS need to be grounded and documented to improve transparency in the applied procedure.","container-title":"Trends in Food Science &amp; Technology","DOI":"10.1016/j.tifs.2011.08.009","ISSN":"0924-2244","issue":"1","journalAbbreviation":"Trends in Food Science &amp; Technology","page":"51-58","source":"ScienceDirect","title":"Overview of available methods for Risk Based Control within the European Union","volume":"23","author":[{"family":"Asselt","given":"E. D.","non-dropping-particle":"van"},{"family":"Sterrenburg","given":"P."},{"family":"Noordam","given":"M. Y."},{"family":"Fels-Klerx","given":"H. J.","non-dropping-particle":"van der"}],"issued":{"date-parts":[["2012",1,1]]}}},{"id":152,"uris":["http://zotero.org/users/20142566/items/4AS6UDWG"],"itemData":{"id":152,"type":"article-journal","container-title":"Journal of Risk Research","DOI":"10.1080/13669877.2018.1517381","ISSN":"1366-9877, 1466-4461","issue":"2","journalAbbreviation":"Journal of Risk Research","language":"en","page":"139-152","source":"DOI.org (Crossref)","title":"The risk-based approach under the new EU data protection regulation: a critical perspective","title-short":"The risk-based approach under the new EU data protection regulation","volume":"23","author":[{"family":"Gonçalves","given":"Maria Eduarda"}],"issued":{"date-parts":[["2020",2,1]]}}}],"schema":"https://github.com/citation-style-language/schema/raw/master/csl-citation.json"} </w:instrText>
      </w:r>
      <w:r>
        <w:fldChar w:fldCharType="separate"/>
      </w:r>
      <w:r w:rsidRPr="00C4611B">
        <w:rPr>
          <w:rFonts w:cs="Times New Roman"/>
          <w:kern w:val="0"/>
          <w:lang w:bidi="yi-Hebr"/>
        </w:rPr>
        <w:t xml:space="preserve"> E. D. van Asselt et al., </w:t>
      </w:r>
      <w:r>
        <w:t>Overview</w:t>
      </w:r>
      <w:r>
        <w:rPr>
          <w:rFonts w:cs="Times New Roman"/>
          <w:i/>
          <w:iCs/>
          <w:kern w:val="0"/>
          <w:lang w:bidi="yi-Hebr"/>
        </w:rPr>
        <w:t xml:space="preserve"> of Available Methods for Risk Based Control within the European </w:t>
      </w:r>
      <w:r>
        <w:t>Union</w:t>
      </w:r>
      <w:r>
        <w:rPr>
          <w:rFonts w:cs="Times New Roman"/>
          <w:kern w:val="0"/>
          <w:lang w:bidi="yi-Hebr"/>
        </w:rPr>
        <w:t>, 23</w:t>
      </w:r>
      <w:r>
        <w:t xml:space="preserve"> Trends Food Sci. Technol. </w:t>
      </w:r>
      <w:r>
        <w:rPr>
          <w:rFonts w:cs="Times New Roman"/>
          <w:kern w:val="0"/>
          <w:lang w:bidi="yi-Hebr"/>
        </w:rPr>
        <w:t xml:space="preserve">51 (2012); Maria Eduarda Gonçalves, </w:t>
      </w:r>
      <w:r>
        <w:t>The</w:t>
      </w:r>
      <w:r>
        <w:rPr>
          <w:rFonts w:cs="Times New Roman"/>
          <w:i/>
          <w:iCs/>
          <w:kern w:val="0"/>
          <w:lang w:bidi="yi-Hebr"/>
        </w:rPr>
        <w:t xml:space="preserve"> Risk-Based Approach under the New EU Data Protection Regulation: A Critical </w:t>
      </w:r>
      <w:r>
        <w:t>Perspective</w:t>
      </w:r>
      <w:r>
        <w:rPr>
          <w:rFonts w:cs="Times New Roman"/>
          <w:kern w:val="0"/>
          <w:lang w:bidi="yi-Hebr"/>
        </w:rPr>
        <w:t>, 23</w:t>
      </w:r>
      <w:r>
        <w:t xml:space="preserve"> J. Risk Res. </w:t>
      </w:r>
      <w:r>
        <w:rPr>
          <w:rFonts w:cs="Times New Roman"/>
          <w:kern w:val="0"/>
          <w:lang w:bidi="yi-Hebr"/>
        </w:rPr>
        <w:t>139 (2020).</w:t>
      </w:r>
      <w:r>
        <w:fldChar w:fldCharType="end"/>
      </w:r>
    </w:p>
  </w:footnote>
  <w:footnote w:id="66">
    <w:p w:rsidRPr="003E3990" w:rsidR="00064BAE" w:rsidP="00064BAE" w:rsidRDefault="00064BAE" w14:paraId="34858D20" w14:textId="2C58E9BF">
      <w:pPr>
        <w:pStyle w:val="FootnoteText"/>
      </w:pPr>
      <w:r>
        <w:rPr>
          <w:rStyle w:val="FootnoteReference"/>
        </w:rPr>
        <w:footnoteRef/>
      </w:r>
      <w:r>
        <w:t xml:space="preserve"> Véase, en general, </w:t>
      </w:r>
      <w:r>
        <w:t>Human Rights Based Programming</w:t>
      </w:r>
      <w:r>
        <w:t xml:space="preserve">: </w:t>
      </w:r>
      <w:r>
        <w:t>What is it? (U.N. Population Fund</w:t>
      </w:r>
      <w:r w:rsidR="00DD59B7">
        <w:t xml:space="preserve">,</w:t>
      </w:r>
      <w:r>
        <w:t xml:space="preserve"> 2006</w:t>
      </w:r>
      <w:r w:rsidR="00DD59B7">
        <w:t xml:space="preserve">), disponible </w:t>
      </w:r>
      <w:r>
        <w:t xml:space="preserve">en [</w:t>
      </w:r>
      <w:r w:rsidRPr="00064BAE">
        <w:t xml:space="preserve">https://www.unfpa.org/sites/default/files/resource-pdf/human_rights.pdf</w:t>
      </w:r>
      <w:r w:rsidR="00DD59B7">
        <w:t xml:space="preserve">]; Jamie </w:t>
      </w:r>
      <w:r>
        <w:t xml:space="preserve">Frederic Metzl, </w:t>
      </w:r>
      <w:r>
        <w:t>Information Technology and Human Rights</w:t>
      </w:r>
      <w:r>
        <w:t>, 18(4) Human Rights Quarterly</w:t>
      </w:r>
      <w:r>
        <w:t xml:space="preserve"> 705-746 (1996</w:t>
      </w:r>
      <w:r w:rsidR="006C1A1D">
        <w:t xml:space="preserve">).</w:t>
      </w:r>
    </w:p>
  </w:footnote>
  <w:footnote w:id="67">
    <w:p w:rsidRPr="00064BAE" w:rsidR="00064BAE" w:rsidRDefault="00064BAE" w14:paraId="43D7D06B" w14:textId="2FF7EDA7">
      <w:pPr>
        <w:pStyle w:val="FootnoteText"/>
      </w:pPr>
      <w:r>
        <w:rPr>
          <w:rStyle w:val="FootnoteReference"/>
        </w:rPr>
        <w:footnoteRef/>
      </w:r>
      <w:r>
        <w:t xml:space="preserve"> Ontario</w:t>
      </w:r>
      <w:r>
        <w:t xml:space="preserve"> </w:t>
      </w:r>
      <w:r>
        <w:t>Human Rights Commission, Human Rights Based Approach to Policy and Program Development</w:t>
      </w:r>
      <w:r>
        <w:t>, disponible en [https://www3.ohrc.on.ca/en/human-rights-based-approach-policy-and-program-development-0]</w:t>
      </w:r>
    </w:p>
  </w:footnote>
  <w:footnote w:id="68">
    <w:p w:rsidRPr="003E3990" w:rsidR="003E3990" w:rsidRDefault="003E3990" w14:paraId="3805EF53" w14:textId="778D8409">
      <w:pPr>
        <w:pStyle w:val="FootnoteText"/>
      </w:pPr>
      <w:r>
        <w:rPr>
          <w:rStyle w:val="FootnoteReference"/>
        </w:rPr>
        <w:footnoteRef/>
      </w:r>
      <w:r>
        <w:t xml:space="preserve"> </w:t>
      </w:r>
      <w:r w:rsidR="00064BAE">
        <w:t xml:space="preserve">Véase Joe Hoover, </w:t>
      </w:r>
      <w:r w:rsidRPr="004E3A22" w:rsidR="00064BAE">
        <w:rPr>
          <w:i/>
          <w:iCs/>
        </w:rPr>
        <w:t xml:space="preserve">«Rereading the Universal Declaration of Human Rights: Plurality and Contestation, Not Consensus</w:t>
      </w:r>
      <w:r w:rsidR="00064BAE">
        <w:t xml:space="preserve">», 12 </w:t>
      </w:r>
      <w:r w:rsidRPr="004E3A22" w:rsidR="00064BAE">
        <w:rPr>
          <w:smallCaps/>
        </w:rPr>
        <w:t xml:space="preserve">J. Hum. </w:t>
      </w:r>
      <w:r w:rsidRPr="004E3A22" w:rsidR="00064BAE">
        <w:rPr>
          <w:smallCaps/>
        </w:rPr>
        <w:t xml:space="preserve">Rts</w:t>
      </w:r>
      <w:r w:rsidRPr="004E3A22" w:rsidR="00064BAE">
        <w:rPr>
          <w:smallCaps/>
        </w:rPr>
        <w:t xml:space="preserve">.</w:t>
      </w:r>
      <w:r w:rsidR="00064BAE">
        <w:t xml:space="preserve"> 217-241 (2013).</w:t>
      </w:r>
    </w:p>
  </w:footnote>
  <w:footnote w:id="69">
    <w:p w:rsidRPr="00EA7583" w:rsidR="001C4178" w:rsidP="001C4178" w:rsidRDefault="001C4178" w14:paraId="61CF60D2" w14:textId="77777777">
      <w:pPr>
        <w:pStyle w:val="FootnoteText"/>
      </w:pPr>
      <w:r>
        <w:rPr>
          <w:rStyle w:val="FootnoteReference"/>
        </w:rPr>
        <w:footnoteRef/>
      </w:r>
      <w:r>
        <w:t xml:space="preserve"> Véase </w:t>
      </w:r>
      <w:r>
        <w:rPr>
          <w:smallCaps/>
        </w:rPr>
        <w:t xml:space="preserve">Norbert Wiener, </w:t>
      </w:r>
      <w:r>
        <w:t>God</w:t>
      </w:r>
      <w:r>
        <w:rPr>
          <w:smallCaps/>
        </w:rPr>
        <w:t xml:space="preserve"> &amp; Golem, Inc.: </w:t>
      </w:r>
      <w:r>
        <w:t>A Comment on Certain Points Where Cybernetics Impinges on Religion</w:t>
      </w:r>
      <w:r>
        <w:t xml:space="preserve"> (MIT Press, 1964), pp. 82-85.</w:t>
      </w:r>
    </w:p>
  </w:footnote>
  <w:footnote w:id="70">
    <w:p w:rsidRPr="001C4178" w:rsidR="001C4178" w:rsidRDefault="001C4178" w14:paraId="37C41973" w14:textId="5F85AE65">
      <w:pPr>
        <w:pStyle w:val="FootnoteText"/>
      </w:pPr>
      <w:r>
        <w:rPr>
          <w:rStyle w:val="FootnoteReference"/>
        </w:rPr>
        <w:footnoteRef/>
      </w:r>
      <w:r>
        <w:t xml:space="preserve"> </w:t>
      </w:r>
      <w:r>
        <w:t>Cf.</w:t>
      </w:r>
      <w:r>
        <w:t xml:space="preserve"> </w:t>
      </w:r>
      <w:r w:rsidRPr="001C4178">
        <w:rPr>
          <w:rFonts w:hint="eastAsia"/>
        </w:rPr>
        <w:t xml:space="preserve">Peter R. Lewis </w:t>
      </w:r>
      <w:r>
        <w:t xml:space="preserve">y </w:t>
      </w:r>
      <w:r w:rsidRPr="001C4178">
        <w:rPr>
          <w:rFonts w:hint="eastAsia"/>
        </w:rPr>
        <w:t xml:space="preserve">Ştefan </w:t>
      </w:r>
      <w:r w:rsidRPr="001C4178">
        <w:rPr>
          <w:rFonts w:hint="eastAsia"/>
        </w:rPr>
        <w:t xml:space="preserve">Sarkadi</w:t>
      </w:r>
      <w:r>
        <w:t xml:space="preserve">, </w:t>
      </w:r>
      <w:r>
        <w:t>Reflective Artificial Intelligence</w:t>
      </w:r>
      <w:r>
        <w:t>, 34 Minds and Machines 14; disponible en [</w:t>
      </w:r>
      <w:r w:rsidRPr="001C4178">
        <w:t xml:space="preserve">https://doi.org/10.1007/s11023-024-09664-2</w:t>
      </w:r>
      <w:r>
        <w:t xml:space="preserve">].</w:t>
      </w:r>
    </w:p>
  </w:footnote>
  <w:footnote w:id="71">
    <w:p w:rsidR="005572A1" w:rsidRDefault="005572A1" w14:paraId="1789435C" w14:textId="1FBD4CD9">
      <w:pPr>
        <w:pStyle w:val="FootnoteText"/>
      </w:pPr>
      <w:r>
        <w:rPr>
          <w:rStyle w:val="FootnoteReference"/>
        </w:rPr>
        <w:footnoteRef/>
      </w:r>
      <w:r>
        <w:fldChar w:fldCharType="begin"/>
      </w:r>
      <w:r w:rsidR="00C04038">
        <w:instrText xml:space="preserve"> ADDIN ZOTERO_ITEM CSL_CITATION {"citationID":"YPyvyKuu","properties":{"formattedCitation":"Michel Foucault, {\\i{}The History of Sexuality, Vol. 1: An Introduction} (Reprint ed. 1990).","plainCitation":"Michel Foucault, The History of Sexuality, Vol. 1: An Introduction (Reprint ed. 1990).","noteIndex":34},"citationItems":[{"id":150,"uris":["http://zotero.org/users/20142566/items/T8IT2SPH"],"itemData":{"id":150,"type":"chapter","edition":"Reprint","ISBN":"978-0-14-012474-3","language":"eng","note":"number-of-pages: 168","publisher":"Penguin Books","publisher-place":"London","source":"K10plus ISBN","title":"The History of Sexuality, Vol. 1: An Introduction","title-short":"The history of sexuality. Vol. 1","author":[{"family":"Foucault","given":"Michel"}],"issued":{"date-parts":[["1990"]]}}}],"schema":"https://github.com/citation-style-language/schema/raw/master/csl-citation.json"} </w:instrText>
      </w:r>
      <w:r>
        <w:fldChar w:fldCharType="separate"/>
      </w:r>
      <w:r w:rsidRPr="005572A1">
        <w:rPr>
          <w:rFonts w:cs="Times New Roman"/>
          <w:kern w:val="0"/>
          <w:lang w:bidi="yi-Hebr"/>
        </w:rPr>
        <w:t xml:space="preserve"> Michel Foucault, </w:t>
      </w:r>
      <w:r>
        <w:t>The History of Sexuality</w:t>
      </w:r>
      <w:r>
        <w:rPr>
          <w:rFonts w:cs="Times New Roman"/>
          <w:i/>
          <w:iCs/>
          <w:kern w:val="0"/>
          <w:lang w:bidi="yi-Hebr"/>
        </w:rPr>
        <w:t xml:space="preserve">, </w:t>
      </w:r>
      <w:r>
        <w:t>Vol</w:t>
      </w:r>
      <w:r>
        <w:rPr>
          <w:rFonts w:cs="Times New Roman"/>
          <w:i/>
          <w:iCs/>
          <w:kern w:val="0"/>
          <w:lang w:bidi="yi-Hebr"/>
        </w:rPr>
        <w:t xml:space="preserve">. 1: </w:t>
      </w:r>
      <w:r>
        <w:t>An Introduction</w:t>
      </w:r>
      <w:r>
        <w:rPr>
          <w:rFonts w:cs="Times New Roman"/>
          <w:i/>
          <w:iCs/>
          <w:kern w:val="0"/>
          <w:lang w:bidi="yi-Hebr"/>
        </w:rPr>
        <w:t xml:space="preserve"> </w:t>
      </w:r>
      <w:r>
        <w:rPr>
          <w:rFonts w:cs="Times New Roman"/>
          <w:kern w:val="0"/>
          <w:lang w:bidi="yi-Hebr"/>
        </w:rPr>
        <w:t>(ed. reimpresa</w:t>
      </w:r>
      <w:r>
        <w:t>,</w:t>
      </w:r>
      <w:r>
        <w:rPr>
          <w:rFonts w:cs="Times New Roman"/>
          <w:kern w:val="0"/>
          <w:lang w:bidi="yi-Hebr"/>
        </w:rPr>
        <w:t xml:space="preserve"> 1990).</w:t>
      </w:r>
      <w:r>
        <w:fldChar w:fldCharType="end"/>
      </w:r>
    </w:p>
  </w:footnote>
  <w:footnote w:id="72">
    <w:p w:rsidRPr="009A4AD1" w:rsidR="009A4AD1" w:rsidP="009A4AD1" w:rsidRDefault="009A4AD1" w14:paraId="6A32B430" w14:textId="31217FE6">
      <w:pPr>
        <w:pStyle w:val="FootnoteText"/>
      </w:pPr>
      <w:r>
        <w:rPr>
          <w:rStyle w:val="FootnoteReference"/>
        </w:rPr>
        <w:footnoteRef/>
      </w:r>
      <w:r>
        <w:t xml:space="preserve"> Bien descrito en Jan Groos,</w:t>
      </w:r>
      <w:r>
        <w:rPr>
          <w:i/>
          <w:iCs/>
        </w:rPr>
        <w:t xml:space="preserve"> </w:t>
      </w:r>
      <w:r>
        <w:t>Crypto Politics: Notes on Sociotechnical Imaginaries of Governance in Blockchain Based Technologies</w:t>
      </w:r>
      <w:r>
        <w:rPr>
          <w:i/>
          <w:iCs/>
        </w:rPr>
        <w:t>, en</w:t>
      </w:r>
      <w:r>
        <w:rPr>
          <w:smallCaps/>
        </w:rPr>
        <w:t xml:space="preserve"> Data Loam: </w:t>
      </w:r>
      <w:r>
        <w:t>Sometimes Hard</w:t>
      </w:r>
      <w:r>
        <w:rPr>
          <w:smallCaps/>
        </w:rPr>
        <w:t xml:space="preserve">, </w:t>
      </w:r>
      <w:r>
        <w:t>Usually Soft</w:t>
      </w:r>
      <w:r>
        <w:rPr>
          <w:smallCaps/>
        </w:rPr>
        <w:t xml:space="preserve">: </w:t>
      </w:r>
      <w:r>
        <w:t>The Future of Knowledge Systems</w:t>
      </w:r>
      <w:r w:rsidR="003271E3">
        <w:t xml:space="preserve"> 148-170 </w:t>
      </w:r>
      <w:r>
        <w:t xml:space="preserve">(</w:t>
      </w:r>
      <w:r>
        <w:t>Johnny Golding, Martin Reinhart y Mattia Paganelli</w:t>
      </w:r>
      <w:r>
        <w:t>,</w:t>
      </w:r>
      <w:r>
        <w:t xml:space="preserve"> </w:t>
      </w:r>
      <w:r>
        <w:t>eds.,</w:t>
      </w:r>
      <w:r>
        <w:t xml:space="preserve"> De Gruyter, 2021) </w:t>
      </w:r>
      <w:r>
        <w:t>(«El empeño por</w:t>
      </w:r>
      <w:r>
        <w:t xml:space="preserve"> un supuesto “fin de la política” </w:t>
      </w:r>
      <w:r>
        <w:t>en</w:t>
      </w:r>
      <w:r>
        <w:t xml:space="preserve"> favor de </w:t>
      </w:r>
      <w:r>
        <w:t xml:space="preserve">una autoorganización </w:t>
      </w:r>
      <w:r>
        <w:t xml:space="preserve">descentralizada </w:t>
      </w:r>
      <w:r>
        <w:t xml:space="preserve">y algorítmica, </w:t>
      </w:r>
      <w:r>
        <w:t xml:space="preserve">que sirvió como uno de los mitos fundacionales en torno a las tecnologías basadas en blockchain, </w:t>
      </w:r>
      <w:r>
        <w:t>condujo</w:t>
      </w:r>
      <w:r>
        <w:t xml:space="preserve"> a una situación en la que la necesidad de la política ordinaria salió a la luz con inmensa intensidad». Ibíd., 156).</w:t>
      </w:r>
    </w:p>
  </w:footnote>
  <w:footnote w:id="73">
    <w:p w:rsidR="001042C2" w:rsidRDefault="001042C2" w14:paraId="7E6D9B98" w14:textId="1ABD772B">
      <w:pPr>
        <w:pStyle w:val="FootnoteText"/>
      </w:pPr>
      <w:r>
        <w:rPr>
          <w:rStyle w:val="FootnoteReference"/>
        </w:rPr>
        <w:footnoteRef/>
      </w:r>
      <w:r>
        <w:fldChar w:fldCharType="begin"/>
      </w:r>
      <w:r w:rsidR="003F6FF0">
        <w:instrText xml:space="preserve"> ADDIN ZOTERO_ITEM CSL_CITATION {"citationID":"kahYmiY8","properties":{"formattedCitation":"{\\scaps De Filippi and Wright}, {\\i{}supra} note 28.","plainCitation":"De Filippi and Wright, supra note 28.","noteIndex":37},"citationItems":[{"id":24,"uris":["http://zotero.org/users/20142566/items/Y8WDYCHT"],"itemData":{"id":24,"type":"book","abstract":"Blockchain technology enables the creation of decentralized currencies, decentralized applications powered by smart contracts, self-executing digital agreements, and intelligent assets that can be controlled over the Internet. Blockchains also enable the development of new governance systems with more democratic or participatory decision-making, and decentralized (autonomous) organizations that can operate over a network of computers without any human intervention. These applications have led many to compare the blockchain to the Internet, with accompanying predictions that this technology will shift the balance of power away from centralized authorities in the field of communications, business, and even politics or law. Blockchain and the Law explores the benefits and drawbacks of this emerging decentralized technology and argues that its widespread deployment will lead to expansion of what we term lex cryptographia: rules administered through self-executing smart contracts.--","call-number":"QA76.9.D32 D44 2018","ISBN":"978-0-674-97642-9","language":"en","number-of-pages":"300","publisher":"Harvard University Press","publisher-place":"Cambridge, Massachusetts","source":"Library of Congress ISBN","title":"Blockchain and the Law: The Rule of Code","title-short":"Blockchain and the law","author":[{"family":"De Filippi","given":"Primavera"},{"family":"Wright","given":"Aaron"}],"issued":{"date-parts":[["2018"]]}}}],"schema":"https://github.com/citation-style-language/schema/raw/master/csl-citation.json"} </w:instrText>
      </w:r>
      <w:r>
        <w:fldChar w:fldCharType="separate"/>
      </w:r>
      <w:r w:rsidRPr="003F6FF0" w:rsidR="003F6FF0">
        <w:rPr>
          <w:rFonts w:cs="Times New Roman"/>
          <w:smallCaps/>
          <w:kern w:val="0"/>
        </w:rPr>
        <w:t xml:space="preserve"> De Filippi y Wright</w:t>
      </w:r>
      <w:r>
        <w:rPr>
          <w:rFonts w:cs="Times New Roman"/>
          <w:i/>
          <w:iCs/>
          <w:kern w:val="0"/>
        </w:rPr>
        <w:t xml:space="preserve">, </w:t>
      </w:r>
      <w:r>
        <w:t>supra</w:t>
      </w:r>
      <w:r>
        <w:rPr>
          <w:rFonts w:cs="Times New Roman"/>
          <w:kern w:val="0"/>
        </w:rPr>
        <w:t xml:space="preserve"> </w:t>
      </w:r>
      <w:r>
        <w:rPr>
          <w:rFonts w:cs="Times New Roman"/>
          <w:kern w:val="0"/>
        </w:rPr>
        <w:t>nota 28</w:t>
      </w:r>
      <w:r>
        <w:t>.</w:t>
      </w:r>
      <w:r>
        <w:fldChar w:fldCharType="end"/>
      </w:r>
    </w:p>
  </w:footnote>
  <w:footnote w:id="74">
    <w:p w:rsidR="00C73D62" w:rsidRDefault="00C73D62" w14:paraId="705BE9C2" w14:textId="12C69A2F">
      <w:pPr>
        <w:pStyle w:val="FootnoteText"/>
      </w:pPr>
      <w:r>
        <w:rPr>
          <w:rStyle w:val="FootnoteReference"/>
        </w:rPr>
        <w:footnoteRef/>
      </w:r>
      <w:r>
        <w:fldChar w:fldCharType="begin"/>
      </w:r>
      <w:r>
        <w:instrText xml:space="preserve"> ADDIN ZOTERO_ITEM CSL_CITATION {"citationID":"kSaahRgB","properties":{"formattedCitation":"Nicholas Godfrey &amp; Mark Burdon, {\\i{}Fidelity in Legal Coding: Applying Legal Translation Frameworks to Address Interpretive Challenges}, 33 {\\scaps Inf. Commun. Technol. Law} 153 (2024).","plainCitation":"Nicholas Godfrey &amp; Mark Burdon, Fidelity in Legal Coding: Applying Legal Translation Frameworks to Address Interpretive Challenges, 33 Inf. Commun. Technol. Law 153 (2024).","noteIndex":37},"citationItems":[{"id":13,"uris":["http://zotero.org/users/20142566/items/6KFLAPQ5"],"itemData":{"id":13,"type":"article-journal","abstract":"There is rapidly developing interest in legal coding, the development of machine-consumable code representations of legal rules. However, interpretive ambiguities inherent in legal rules make it challenging to directly translate law into code. Interpretive ambiguities pose challenges for legal coders, who must determine the extent to which they disambiguate rules, as well as the interpretive methods applied. Similar interpretive issues have been historically addressed in the ﬁeld of legal translation. This paper argues that a legal translation framework, known as the principle of ﬁdelity, can be used to better understand and resolve interpretive ambiguities inherent in the legal coding process. Three models of ﬁdelity prominently discussed in legal translation literature are adapted and applied to legal coding. Accordingly, the application of ﬁdelity models to the legal coding process could provide new understanding and methods to address complex interpretive ambiguities.","container-title":"Information &amp; Communications Technology Law","DOI":"10.1080/13600834.2024.2312620","ISSN":"1360-0834, 1469-8404","issue":"2","journalAbbreviation":"Information &amp; Communications Technology Law","language":"en","page":"153-176","source":"DOI.org (Crossref)","title":"Fidelity in Legal Coding: Applying Legal Translation Frameworks to Address Interpretive Challenges","title-short":"Fidelity in legal coding","volume":"33","author":[{"family":"Godfrey","given":"Nicholas"},{"family":"Burdon","given":"Mark"}],"issued":{"date-parts":[["2024",5,3]]}}}],"schema":"https://github.com/citation-style-language/schema/raw/master/csl-citation.json"} </w:instrText>
      </w:r>
      <w:r>
        <w:fldChar w:fldCharType="separate"/>
      </w:r>
      <w:r w:rsidRPr="00C73D62">
        <w:rPr>
          <w:rFonts w:cs="Times New Roman"/>
          <w:kern w:val="0"/>
        </w:rPr>
        <w:t xml:space="preserve"> Nicholas Godfrey y Mark Burdon, </w:t>
      </w:r>
      <w:r>
        <w:t>Fidelity in Legal Coding</w:t>
      </w:r>
      <w:r>
        <w:rPr>
          <w:rFonts w:cs="Times New Roman"/>
          <w:i/>
          <w:iCs/>
          <w:kern w:val="0"/>
        </w:rPr>
        <w:t xml:space="preserve">: </w:t>
      </w:r>
      <w:r>
        <w:t>Applying Legal Translation Frameworks to Address Interpretive Challenges, 33 Inf. Commun. Technol. Law</w:t>
      </w:r>
      <w:r>
        <w:rPr>
          <w:rFonts w:cs="Times New Roman"/>
          <w:kern w:val="0"/>
        </w:rPr>
        <w:t xml:space="preserve"> </w:t>
      </w:r>
      <w:r>
        <w:rPr>
          <w:rFonts w:cs="Times New Roman"/>
          <w:kern w:val="0"/>
        </w:rPr>
        <w:t>153 (2024).</w:t>
      </w:r>
      <w:r>
        <w:fldChar w:fldCharType="end"/>
      </w:r>
    </w:p>
  </w:footnote>
  <w:footnote w:id="75">
    <w:p w:rsidR="003D5A83" w:rsidRDefault="00000000" w14:paraId="4371B195" w14:textId="77777777">
      <w:pPr>
        <w:pStyle w:val="FootnoteText"/>
      </w:pPr>
      <w:r>
        <w:rPr>
          <w:rStyle w:val="FootnoteReference"/>
        </w:rPr>
        <w:footnoteRef/>
      </w:r>
      <w:r>
        <w:t xml:space="preserve"> Este es el modelo de transición de </w:t>
      </w:r>
      <w:r>
        <w:t>estados</w:t>
      </w:r>
      <w:r>
        <w:t xml:space="preserve"> sobre el que se </w:t>
      </w:r>
      <w:r>
        <w:t>construye</w:t>
      </w:r>
      <w:r>
        <w:t xml:space="preserve"> Ethereum: el estado del libro mayor en cada bloque es</w:t>
      </w:r>
      <w:r>
        <w:t xml:space="preserve"> función de su estado anterior y de las transacciones </w:t>
      </w:r>
      <w:r>
        <w:t>aplicadas a este</w:t>
      </w:r>
      <w:r>
        <w:t xml:space="preserve">, y los nodos rechazan cualquier bloque cuyo estado declarado no se </w:t>
      </w:r>
      <w:r>
        <w:t>siga</w:t>
      </w:r>
      <w:r>
        <w:t xml:space="preserve"> de esa función. </w:t>
      </w:r>
      <w:r>
        <w:rPr>
          <w:i/>
          <w:iCs/>
        </w:rPr>
        <w:t xml:space="preserve">Véase </w:t>
      </w:r>
      <w:r>
        <w:t xml:space="preserve">Gavin Wood, </w:t>
      </w:r>
      <w:r>
        <w:rPr>
          <w:i/>
          <w:iCs/>
        </w:rPr>
        <w:t xml:space="preserve">Ethereum: A Secure </w:t>
      </w:r>
      <w:r>
        <w:rPr>
          <w:i/>
          <w:iCs/>
        </w:rPr>
        <w:t xml:space="preserve">Decentralised </w:t>
      </w:r>
      <w:r>
        <w:rPr>
          <w:i/>
          <w:iCs/>
        </w:rPr>
        <w:t xml:space="preserve">Generalised </w:t>
      </w:r>
      <w:r>
        <w:rPr>
          <w:i/>
          <w:iCs/>
        </w:rPr>
        <w:t xml:space="preserve">Transaction Ledger </w:t>
      </w:r>
      <w:r>
        <w:t xml:space="preserve">§ 2 (Yellow Paper), https://ethereum.github.io/yellowpaper/paper.pdf. La práctica de Bitcoin de vincular cada bloque al hash de su predecesor logra la misma autorreferencia de </w:t>
      </w:r>
      <w:r>
        <w:t>manera</w:t>
      </w:r>
      <w:r>
        <w:t xml:space="preserve"> más </w:t>
      </w:r>
      <w:r>
        <w:t>simple</w:t>
      </w:r>
      <w:r>
        <w:t xml:space="preserve">. </w:t>
      </w:r>
      <w:r>
        <w:rPr>
          <w:i/>
          <w:iCs/>
        </w:rPr>
        <w:t xml:space="preserve">Véase </w:t>
      </w:r>
      <w:r>
        <w:t xml:space="preserve">Satoshi Nakamoto, </w:t>
      </w:r>
      <w:r>
        <w:t>Bitcoin</w:t>
      </w:r>
      <w:r>
        <w:t xml:space="preserve">: </w:t>
      </w:r>
      <w:r>
        <w:t>A Peer-to-Peer Electronic Cash System</w:t>
      </w:r>
      <w:r>
        <w:t xml:space="preserve"> 2–3 (2008), https://bitcoin.org/bitcoin.pdf.</w:t>
      </w:r>
    </w:p>
  </w:footnote>
  <w:footnote w:id="76">
    <w:p w:rsidR="00494CB8" w:rsidRDefault="00494CB8" w14:paraId="44E827C2" w14:textId="1C2C3C80">
      <w:pPr>
        <w:pStyle w:val="FootnoteText"/>
      </w:pPr>
      <w:r>
        <w:rPr>
          <w:rStyle w:val="FootnoteReference"/>
        </w:rPr>
        <w:footnoteRef/>
      </w:r>
      <w:r>
        <w:fldChar w:fldCharType="begin"/>
      </w:r>
      <w:r w:rsidR="00F7734E">
        <w:instrText xml:space="preserve"> ADDIN ZOTERO_ITEM CSL_CITATION {"citationID":"iXtZY8Rd","properties":{"formattedCitation":"Myra Cheng et al., {\\i{}Sycophantic AI Decreases Prosocial Intentions and Promotes Dependence}, 391 {\\scaps Science} eaec8352 (2026); {\\i{}AI Overly Affirms Users Asking for Personal Advice}, https://news.stanford.edu/stories/2026/03/ai-advice-sycophantic-models-research (last visited Apr. 9, 2026).","plainCitation":"Myra Cheng et al., Sycophantic AI Decreases Prosocial Intentions and Promotes Dependence, 391 Science eaec8352 (2026); AI Overly Affirms Users Asking for Personal Advice, https://news.stanford.edu/stories/2026/03/ai-advice-sycophantic-models-research (last visited Apr. 9, 2026).","noteIndex":36},"citationItems":[{"id":53,"uris":["http://zotero.org/users/20142566/items/9GC59ID8"],"itemData":{"id":53,"type":"article-journal","abstract":"Despite rising concerns about sycophancy—excessive agreement or flattery from artificial intelligence (AI) systems—little is known about its prevalence or consequences. We show that sycophancy is widespread and harmful. Across 11 state-of-the-art models, AI affirmed users’ actions 49% more often than humans, even when queries involved deception, illegality, or other harms. In three preregistered experiments (N = 2405), even a single interaction with sycophantic AI reduced participants’ willingness to take responsibility and repair interpersonal conflicts, while increasing their conviction that they were right. Despite distorting judgment, sycophantic models were trusted and preferred. This creates perverse incentives for sycophancy to persist: The very feature that causes harm also drives engagement. Our findings underscore the need for design, evaluation, and accountability mechanisms to protect user well-being.","container-title":"Science","DOI":"10.1126/science.aec8352","issue":"6792","page":"eaec8352","publisher":"American Association for the Advancement of Science","source":"science.org (Atypon)","title":"Sycophantic AI decreases prosocial intentions and promotes dependence","volume":"391","author":[{"family":"Cheng","given":"Myra"},{"family":"Lee","given":"Cinoo"},{"family":"Khadpe","given":"Pranav"},{"family":"Yu","given":"Sunny"},{"family":"Han","given":"Dyllan"},{"family":"Jurafsky","given":"Dan"}],"issued":{"date-parts":[["2026",3,26]]}}},{"id":76,"uris":["http://zotero.org/users/20142566/items/WMSHHI4A"],"itemData":{"id":76,"type":"webpage","abstract":"Not only are AIs far more agreeable than humans when advising on interpersonal matters, but users also prefer the sycophantic models.","language":"en","title":"AI overly affirms users asking for personal advice","URL":"https://news.stanford.edu/stories/2026/03/ai-advice-sycophantic-models-research","accessed":{"date-parts":[["2026",4,9]]}}}],"schema":"https://github.com/citation-style-language/schema/raw/master/csl-citation.json"} </w:instrText>
      </w:r>
      <w:r>
        <w:fldChar w:fldCharType="separate"/>
      </w:r>
      <w:r>
        <w:rPr>
          <w:rFonts w:cs="Times New Roman"/>
          <w:kern w:val="0"/>
        </w:rPr>
        <w:t xml:space="preserve"> Myra Cheng </w:t>
      </w:r>
      <w:r>
        <w:t>et al</w:t>
      </w:r>
      <w:r>
        <w:rPr>
          <w:rFonts w:cs="Times New Roman"/>
          <w:kern w:val="0"/>
        </w:rPr>
        <w:t xml:space="preserve">., </w:t>
      </w:r>
      <w:r>
        <w:t>Sycophantic AI Decreases Prosocial Intentions and Promotes Dependence</w:t>
      </w:r>
      <w:r>
        <w:rPr>
          <w:rFonts w:cs="Times New Roman"/>
          <w:kern w:val="0"/>
        </w:rPr>
        <w:t>, 391</w:t>
      </w:r>
      <w:r>
        <w:t xml:space="preserve"> </w:t>
      </w:r>
      <w:r>
        <w:rPr>
          <w:rFonts w:cs="Times New Roman"/>
          <w:smallCaps/>
          <w:kern w:val="0"/>
        </w:rPr>
        <w:t xml:space="preserve">Science </w:t>
      </w:r>
      <w:r w:rsidRPr="00F7734E" w:rsidR="00F7734E">
        <w:rPr>
          <w:rFonts w:cs="Times New Roman"/>
          <w:kern w:val="0"/>
        </w:rPr>
        <w:t xml:space="preserve">eaec8352 (2026); </w:t>
      </w:r>
      <w:r>
        <w:t>AI Overly Affirms Users Asking for Personal Advice</w:t>
      </w:r>
      <w:r w:rsidRPr="00F7734E" w:rsidR="00F7734E">
        <w:rPr>
          <w:rFonts w:cs="Times New Roman"/>
          <w:kern w:val="0"/>
        </w:rPr>
        <w:t xml:space="preserve">, https://news.stanford.edu/stories/2026/03/ai-advice-sycophantic-models-research (consultado por última vez el 9 de abril de 2026).</w:t>
      </w:r>
      <w:r>
        <w:fldChar w:fldCharType="end"/>
      </w:r>
    </w:p>
  </w:footnote>
  <w:footnote w:id="77">
    <w:p w:rsidRPr="004E3A22" w:rsidR="00CC78AC" w:rsidRDefault="00CC78AC" w14:paraId="2497D1A0" w14:textId="78A70132">
      <w:pPr>
        <w:pStyle w:val="FootnoteText"/>
      </w:pPr>
      <w:r>
        <w:rPr>
          <w:rStyle w:val="FootnoteReference"/>
        </w:rPr>
        <w:footnoteRef/>
      </w:r>
      <w:r>
        <w:fldChar w:fldCharType="begin"/>
      </w:r>
      <w:r w:rsidR="00C04038">
        <w:instrText xml:space="preserve"> ADDIN ZOTERO_ITEM CSL_CITATION {"citationID":"sTSOayjM","properties":{"formattedCitation":"{\\scaps Niklas Luhmann}, {\\scaps Law As A Social System} (2004).","plainCitation":"Niklas Luhmann, Law As A Social System (2004).","noteIndex":37},"citationItems":[{"id":9,"uris":["http://zotero.org/users/20142566/items/WMRD3MSS"],"itemData":{"id":9,"type":"book","DOI":"10.1093/oso/9780198262381.001.0001","ISBN":"978-0-19-826238-1","number-of-pages":"498","publisher":"Oxford University Press","title":"Law As A Social System","author":[{"family":"Luhmann","given":"Niklas"}],"issued":{"date-parts":[["2004"]]}}}],"schema":"https://github.com/citation-style-language/schema/raw/master/csl-citation.json"} </w:instrText>
      </w:r>
      <w:r>
        <w:fldChar w:fldCharType="separate"/>
      </w:r>
      <w:r w:rsidRPr="00CC78AC">
        <w:rPr>
          <w:rFonts w:cs="Times New Roman"/>
          <w:smallCaps/>
          <w:kern w:val="0"/>
          <w:lang w:bidi="yi-Hebr"/>
        </w:rPr>
        <w:t xml:space="preserve"> Niklas Luhmann</w:t>
      </w:r>
      <w:r>
        <w:rPr>
          <w:rFonts w:cs="Times New Roman"/>
          <w:kern w:val="0"/>
          <w:lang w:bidi="yi-Hebr"/>
        </w:rPr>
        <w:t>,</w:t>
      </w:r>
      <w:r>
        <w:rPr>
          <w:rFonts w:cs="Times New Roman"/>
          <w:smallCaps/>
          <w:kern w:val="0"/>
          <w:lang w:bidi="yi-Hebr"/>
        </w:rPr>
        <w:t xml:space="preserve"> </w:t>
      </w:r>
      <w:r>
        <w:t>Law as a Social System</w:t>
      </w:r>
      <w:r w:rsidRPr="00CC78AC">
        <w:rPr>
          <w:rFonts w:cs="Times New Roman"/>
          <w:kern w:val="0"/>
          <w:lang w:bidi="yi-Hebr"/>
        </w:rPr>
        <w:t xml:space="preserve"> (2004).</w:t>
      </w:r>
      <w:r>
        <w:fldChar w:fldCharType="end"/>
      </w:r>
    </w:p>
  </w:footnote>
  <w:footnote w:id="78">
    <w:p w:rsidR="003D5A83" w:rsidRDefault="00000000" w14:paraId="7BB687C7" w14:textId="2C46E293">
      <w:pPr>
        <w:pStyle w:val="FootnoteText"/>
      </w:pPr>
      <w:r>
        <w:rPr>
          <w:rStyle w:val="FootnoteReference"/>
        </w:rPr>
        <w:footnoteRef/>
      </w:r>
      <w:r>
        <w:t xml:space="preserve"> </w:t>
      </w:r>
      <w:r>
        <w:rPr>
          <w:smallCaps/>
        </w:rPr>
        <w:t xml:space="preserve">Niklas Luhmann, </w:t>
      </w:r>
      <w:r>
        <w:t>Law as a Social System</w:t>
      </w:r>
      <w:r>
        <w:t xml:space="preserve"> caps. 2</w:t>
      </w:r>
      <w:r>
        <w:t>,</w:t>
      </w:r>
      <w:r>
        <w:t xml:space="preserve"> 10 </w:t>
      </w:r>
      <w:r>
        <w:t>(Klaus</w:t>
      </w:r>
      <w:r>
        <w:t xml:space="preserve"> A. Ziegert</w:t>
      </w:r>
      <w:r>
        <w:t>, trad.,</w:t>
      </w:r>
      <w:r>
        <w:t xml:space="preserve"> Fatima Kastner </w:t>
      </w:r>
      <w:r>
        <w:t>et al., eds.,</w:t>
      </w:r>
      <w:r>
        <w:t xml:space="preserve"> 2004) (el cierre operativo como condición de la apertura cognitiva; el acoplamiento estructural entre sistemas cerrados). Es </w:t>
      </w:r>
      <w:r>
        <w:t>discutible que</w:t>
      </w:r>
      <w:r>
        <w:t xml:space="preserve"> los sistemas técnicos </w:t>
      </w:r>
      <w:r>
        <w:t>puedan</w:t>
      </w:r>
      <w:r>
        <w:t xml:space="preserve"> ser </w:t>
      </w:r>
      <w:r>
        <w:t>autopoiéticos</w:t>
      </w:r>
      <w:r>
        <w:t xml:space="preserve"> en el sentido de Luhmann, y nada en el argumento aquí </w:t>
      </w:r>
      <w:r>
        <w:t>expuesto</w:t>
      </w:r>
      <w:r>
        <w:t xml:space="preserve"> depende de ello; la afirmación es funcional</w:t>
      </w:r>
      <w:r>
        <w:t>,</w:t>
      </w:r>
      <w:r>
        <w:t xml:space="preserve"> </w:t>
      </w:r>
      <w:r>
        <w:t>no</w:t>
      </w:r>
      <w:r>
        <w:t xml:space="preserve"> ontológica. </w:t>
      </w:r>
      <w:r>
        <w:rPr>
          <w:i/>
          <w:iCs/>
        </w:rPr>
        <w:t xml:space="preserve">Compárese </w:t>
      </w:r>
      <w:r>
        <w:rPr>
          <w:smallCaps/>
        </w:rPr>
        <w:t xml:space="preserve">Elena Esposito, </w:t>
      </w:r>
      <w:r>
        <w:t>Artificial Communication</w:t>
      </w:r>
      <w:r>
        <w:rPr>
          <w:smallCaps/>
        </w:rPr>
        <w:t xml:space="preserve">: </w:t>
      </w:r>
      <w:r>
        <w:t>How Algorithms Produce Social Intelligence</w:t>
      </w:r>
      <w:r>
        <w:rPr>
          <w:smallCaps/>
        </w:rPr>
        <w:t xml:space="preserve"> </w:t>
      </w:r>
      <w:r>
        <w:t xml:space="preserve">(2022) (los algoritmos participan en la comunicación sin comprenderla), </w:t>
      </w:r>
      <w:r>
        <w:rPr>
          <w:i/>
          <w:iCs/>
        </w:rPr>
        <w:t xml:space="preserve">con </w:t>
      </w:r>
      <w:r>
        <w:t xml:space="preserve">las fuentes sobre IA generativa y autopoiesis citadas en la Parte </w:t>
      </w:r>
      <w:r>
        <w:t xml:space="preserve">V.iv</w:t>
      </w:r>
      <w:r>
        <w:t xml:space="preserve">, </w:t>
      </w:r>
      <w:r>
        <w:rPr>
          <w:i/>
          <w:iCs/>
        </w:rPr>
        <w:t xml:space="preserve">infra</w:t>
      </w:r>
      <w:r>
        <w:t xml:space="preserve">.</w:t>
      </w:r>
    </w:p>
  </w:footnote>
  <w:footnote w:id="79">
    <w:p w:rsidRPr="004E3A22" w:rsidR="00F95301" w:rsidRDefault="00F95301" w14:paraId="4D4035FD" w14:textId="442251D3">
      <w:pPr>
        <w:pStyle w:val="FootnoteText"/>
      </w:pPr>
      <w:r>
        <w:rPr>
          <w:rStyle w:val="FootnoteReference"/>
        </w:rPr>
        <w:footnoteRef/>
      </w:r>
      <w:r>
        <w:fldChar w:fldCharType="begin"/>
      </w:r>
      <w:r w:rsidR="00C04038">
        <w:instrText xml:space="preserve"> ADDIN ZOTERO_ITEM CSL_CITATION {"citationID":"AAd56yEu","properties":{"formattedCitation":"Backer, {\\i{}supra} note 11.","plainCitation":"Backer, supra note 11.","noteIndex":38},"citationItems":[{"id":52,"uris":["http://zotero.org/users/20142566/items/TMJVLP43"],"itemData":{"id":52,"type":"article-journal","container-title":"International Journal for the Semiotics of Law - Revue internationale de Sémiotique juridique","DOI":"10.1007/s11196-023-10065-4","ISSN":"0952-8059, 1572-8722","issue":"3","journalAbbreviation":"Int J Semiot Law","language":"en","page":"969-1083","source":"DOI.org (Crossref)","title":"The Soulful Machine, the Virtual Person, and the “Human” Condition: An Encounter with Jan M. Broekman, Knowledge in Change: The Semiotics of Cognition and Conversion (Cham, Switzerland: Springer Nature, 2023)","title-short":"The Soulful Machine, the Virtual Person, and the “Human” Condition","volume":"37","author":[{"family":"Backer","given":"Larry Catá"}],"issued":{"date-parts":[["2024",5]]}}}],"schema":"https://github.com/citation-style-language/schema/raw/master/csl-citation.json"} </w:instrText>
      </w:r>
      <w:r>
        <w:fldChar w:fldCharType="separate"/>
      </w:r>
      <w:r w:rsidRPr="00AF795F" w:rsidR="00AF795F">
        <w:rPr>
          <w:rFonts w:cs="Times New Roman"/>
          <w:kern w:val="0"/>
          <w:lang w:bidi="yi-Hebr"/>
        </w:rPr>
        <w:t xml:space="preserve"> Backer, </w:t>
      </w:r>
      <w:r w:rsidRPr="00AF795F" w:rsidR="00AF795F">
        <w:rPr>
          <w:rFonts w:cs="Times New Roman"/>
          <w:i/>
          <w:iCs/>
          <w:kern w:val="0"/>
          <w:lang w:bidi="yi-Hebr"/>
        </w:rPr>
        <w:t xml:space="preserve">supra </w:t>
      </w:r>
      <w:r w:rsidRPr="00AF795F" w:rsidR="00AF795F">
        <w:rPr>
          <w:rFonts w:cs="Times New Roman"/>
          <w:kern w:val="0"/>
          <w:lang w:bidi="yi-Hebr"/>
        </w:rPr>
        <w:t xml:space="preserve">nota 11.</w:t>
      </w:r>
      <w:r>
        <w:fldChar w:fldCharType="end"/>
      </w:r>
    </w:p>
  </w:footnote>
  <w:footnote w:id="80">
    <w:p w:rsidR="00503C57" w:rsidRDefault="00503C57" w14:paraId="002465B2" w14:textId="7EDC59A7">
      <w:pPr>
        <w:pStyle w:val="FootnoteText"/>
      </w:pPr>
      <w:r>
        <w:rPr>
          <w:rStyle w:val="FootnoteReference"/>
        </w:rPr>
        <w:footnoteRef/>
      </w:r>
      <w:r>
        <w:fldChar w:fldCharType="begin"/>
      </w:r>
      <w:r w:rsidR="00C04038">
        <w:instrText xml:space="preserve"> ADDIN ZOTERO_ITEM CSL_CITATION {"citationID":"oFJ7JwDU","properties":{"formattedCitation":"{\\scaps Jean Baudrillard}, {\\scaps Simulacra and Simulation} (1994).","plainCitation":"Jean Baudrillard, Simulacra and Simulation (1994).","noteIndex":39},"citationItems":[{"id":54,"uris":["http://zotero.org/users/20142566/items/NTM5TTBN"],"itemData":{"id":54,"type":"book","call-number":"BD236 .B3813 1994","collection-title":"The Body, in theory","ISBN":"978-0-472-09521-6","language":"eng","number-of-pages":"164","publisher":"University of Michigan Press","publisher-place":"Ann Arbor","source":"Library of Congress ISBN","title":"Simulacra and Simulation","author":[{"family":"Baudrillard","given":"Jean"}],"issued":{"date-parts":[["1994"]]}}}],"schema":"https://github.com/citation-style-language/schema/raw/master/csl-citation.json"} </w:instrText>
      </w:r>
      <w:r>
        <w:fldChar w:fldCharType="separate"/>
      </w:r>
      <w:r w:rsidRPr="00503C57">
        <w:rPr>
          <w:rFonts w:cs="Times New Roman"/>
          <w:smallCaps/>
          <w:kern w:val="0"/>
          <w:lang w:bidi="yi-Hebr"/>
        </w:rPr>
        <w:t xml:space="preserve"> Jean Baudrillard</w:t>
      </w:r>
      <w:r>
        <w:rPr>
          <w:rFonts w:cs="Times New Roman"/>
          <w:kern w:val="0"/>
          <w:lang w:bidi="yi-Hebr"/>
        </w:rPr>
        <w:t>,</w:t>
      </w:r>
      <w:r>
        <w:rPr>
          <w:rFonts w:cs="Times New Roman"/>
          <w:smallCaps/>
          <w:kern w:val="0"/>
          <w:lang w:bidi="yi-Hebr"/>
        </w:rPr>
        <w:t xml:space="preserve"> </w:t>
      </w:r>
      <w:r>
        <w:t>Simulacra and Simulation</w:t>
      </w:r>
      <w:r w:rsidRPr="00503C57">
        <w:rPr>
          <w:rFonts w:cs="Times New Roman"/>
          <w:kern w:val="0"/>
          <w:lang w:bidi="yi-Hebr"/>
        </w:rPr>
        <w:t xml:space="preserve"> (1994).</w:t>
      </w:r>
      <w:r>
        <w:fldChar w:fldCharType="end"/>
      </w:r>
    </w:p>
  </w:footnote>
  <w:footnote w:id="81">
    <w:p w:rsidR="003D5A83" w:rsidRDefault="00000000" w14:paraId="2483D7A7" w14:textId="77777777">
      <w:pPr>
        <w:pStyle w:val="FootnoteText"/>
      </w:pPr>
      <w:r>
        <w:rPr>
          <w:rStyle w:val="FootnoteReference"/>
        </w:rPr>
        <w:footnoteRef/>
      </w:r>
      <w:r>
        <w:t xml:space="preserve"> Un modelo técnicamente más preciso separaría, como mínimo, el código fuente del contrato; las representaciones intermedias y el código de bytes de la máquina virtual; el software cliente del nodo que ejecuta ese código de bytes y que a su vez se compila en código nativo; la arquitectura del conjunto de instrucciones del procesador; la microarquitectura, que en muchos procesadores modernos decodifica las instrucciones en microoperaciones internas antes de ejecutarlas; y la lógica física del chip. </w:t>
      </w:r>
      <w:r>
        <w:rPr>
          <w:i/>
          <w:iCs/>
        </w:rPr>
        <w:t xml:space="preserve">Véase, en general, </w:t>
      </w:r>
      <w:r>
        <w:rPr>
          <w:smallCaps/>
        </w:rPr>
        <w:t xml:space="preserve">John L. Hennessy y David A. Patterson, Computer Architecture: A Quantitative Approach </w:t>
      </w:r>
      <w:r>
        <w:t xml:space="preserve">(6.ª ed., 2017). Cada división adicional marca un acto de traducción más y, por lo tanto, fortalece, en lugar de debilitar, el argumento de esta parte.</w:t>
      </w:r>
    </w:p>
  </w:footnote>
  <w:footnote w:id="82">
    <w:p w:rsidRPr="00897E96" w:rsidR="00897E96" w:rsidRDefault="00897E96" w14:paraId="3E2A73E5" w14:textId="58247114">
      <w:pPr>
        <w:pStyle w:val="FootnoteText"/>
      </w:pPr>
      <w:r>
        <w:rPr>
          <w:rStyle w:val="FootnoteReference"/>
        </w:rPr>
        <w:footnoteRef/>
      </w:r>
      <w:r>
        <w:t xml:space="preserve"> Véase, por ejemplo, </w:t>
      </w:r>
      <w:r w:rsidRPr="00897E96">
        <w:t xml:space="preserve">Pierre Rosanvallon, </w:t>
      </w:r>
      <w:r>
        <w:t>The</w:t>
      </w:r>
      <w:r>
        <w:rPr>
          <w:i/>
          <w:iCs/>
        </w:rPr>
        <w:t xml:space="preserve"> Society of </w:t>
      </w:r>
      <w:r>
        <w:t>Equals (Arthur</w:t>
      </w:r>
      <w:r>
        <w:t xml:space="preserve"> Goldhammer, </w:t>
      </w:r>
      <w:r>
        <w:t xml:space="preserve">trad., </w:t>
      </w:r>
      <w:r>
        <w:t>2013)</w:t>
      </w:r>
      <w:r>
        <w:t xml:space="preserve">; </w:t>
      </w:r>
      <w:r w:rsidRPr="00897E96">
        <w:t xml:space="preserve">Peter Westen, </w:t>
      </w:r>
      <w:r>
        <w:t>The</w:t>
      </w:r>
      <w:r>
        <w:rPr>
          <w:i/>
          <w:iCs/>
        </w:rPr>
        <w:t xml:space="preserve"> Empty Idea of </w:t>
      </w:r>
      <w:r>
        <w:t>Equality</w:t>
      </w:r>
      <w:r>
        <w:t xml:space="preserve">, 95 </w:t>
      </w:r>
      <w:r>
        <w:t>Harv</w:t>
      </w:r>
      <w:r>
        <w:rPr>
          <w:smallCaps/>
        </w:rPr>
        <w:t xml:space="preserve">. L. </w:t>
      </w:r>
      <w:r>
        <w:t>Rev.</w:t>
      </w:r>
      <w:r w:rsidRPr="00897E96">
        <w:t xml:space="preserve"> 537 (1982)</w:t>
      </w:r>
      <w:r>
        <w:t xml:space="preserve">.</w:t>
      </w:r>
    </w:p>
  </w:footnote>
  <w:footnote w:id="83">
    <w:p w:rsidRPr="004E3A22" w:rsidR="00C11648" w:rsidRDefault="00C11648" w14:paraId="512AEDE5" w14:textId="5FBDD0B3">
      <w:pPr>
        <w:pStyle w:val="FootnoteText"/>
      </w:pPr>
      <w:r>
        <w:rPr>
          <w:rStyle w:val="FootnoteReference"/>
        </w:rPr>
        <w:footnoteRef/>
      </w:r>
      <w:r>
        <w:fldChar w:fldCharType="begin"/>
      </w:r>
      <w:r w:rsidR="003F6FF0">
        <w:instrText xml:space="preserve"> ADDIN ZOTERO_ITEM CSL_CITATION {"citationID":"mXTcFdnq","properties":{"formattedCitation":"{\\scaps Lawrence Lessig}, {\\scaps Code: Version 2.0} (2nd ed. ed. 2006).","plainCitation":"Lawrence Lessig, Code: Version 2.0 (2nd ed. ed. 2006).","noteIndex":43},"citationItems":[{"id":15,"uris":["http://zotero.org/users/20142566/items/YVZPWECU"],"itemData":{"id":15,"type":"book","call-number":"343.099 44","edition":"2nd ed.","ISBN":"978-0-465-03914-2","language":"en","publisher":"Basic books","publisher-place":"New York","source":"BnF ISBN","title":"Code: Version 2.0","title-short":"Code","author":[{"family":"Lessig","given":"Lawrence"}],"issued":{"date-parts":[["2006"]]}}}],"schema":"https://github.com/citation-style-language/schema/raw/master/csl-citation.json"} </w:instrText>
      </w:r>
      <w:r>
        <w:fldChar w:fldCharType="separate"/>
      </w:r>
      <w:r w:rsidRPr="004E3A22">
        <w:rPr>
          <w:rFonts w:cs="Times New Roman"/>
          <w:smallCaps/>
          <w:kern w:val="0"/>
          <w:lang w:bidi="yi-Hebr"/>
        </w:rPr>
        <w:t xml:space="preserve"> Lawrence Lessig</w:t>
      </w:r>
      <w:r>
        <w:rPr>
          <w:rFonts w:cs="Times New Roman"/>
          <w:smallCaps/>
          <w:kern w:val="0"/>
          <w:lang w:bidi="yi-Hebr"/>
        </w:rPr>
        <w:t xml:space="preserve">, </w:t>
      </w:r>
      <w:r>
        <w:t>Code: Version 2.0</w:t>
      </w:r>
      <w:r>
        <w:rPr>
          <w:rFonts w:cs="Times New Roman"/>
          <w:kern w:val="0"/>
          <w:lang w:bidi="yi-Hebr"/>
        </w:rPr>
        <w:t xml:space="preserve"> </w:t>
      </w:r>
      <w:r w:rsidRPr="004E3A22">
        <w:rPr>
          <w:rFonts w:cs="Times New Roman"/>
          <w:kern w:val="0"/>
          <w:lang w:bidi="yi-Hebr"/>
        </w:rPr>
        <w:t xml:space="preserve">(2.ª ed., 2006).</w:t>
      </w:r>
      <w:r>
        <w:fldChar w:fldCharType="end"/>
      </w:r>
    </w:p>
  </w:footnote>
  <w:footnote w:id="84">
    <w:p w:rsidR="005313AC" w:rsidRDefault="005313AC" w14:paraId="78C08379" w14:textId="35024DC6">
      <w:pPr>
        <w:pStyle w:val="FootnoteText"/>
      </w:pPr>
      <w:r>
        <w:rPr>
          <w:rStyle w:val="FootnoteReference"/>
        </w:rPr>
        <w:footnoteRef/>
      </w:r>
      <w:r>
        <w:fldChar w:fldCharType="begin"/>
      </w:r>
      <w:r w:rsidR="00C04038">
        <w:instrText xml:space="preserve"> ADDIN ZOTERO_ITEM CSL_CITATION {"citationID":"CZAkxcTu","properties":{"formattedCitation":"Mireille Hildebrandt, {\\i{}Code-Driven Law: Freezing the Future and Scaling the Past} (2020), http://www.bloomsburycollections.com/book/is-law-computable-critical-perspectives-on-law-and-artificial-intelligence.","plainCitation":"Mireille Hildebrandt, Code-Driven Law: Freezing the Future and Scaling the Past (2020), http://www.bloomsburycollections.com/book/is-law-computable-critical-perspectives-on-law-and-artificial-intelligence.","noteIndex":41},"citationItems":[{"id":11,"uris":["http://zotero.org/users/20142566/items/32TPSYMK"],"itemData":{"id":11,"type":"article-journal","DOI":"10.5040/9781509937097","language":"en","publisher":"Hart Publishing","source":"DOI.org (Crossref)","title":"Code-driven Law: Freezing the Future and Scaling the Past","title-short":"Is Law Computable?","URL":"http://www.bloomsburycollections.com/book/is-law-computable-critical-perspectives-on-law-and-artificial-intelligence","editor":[{"family":"Deakin","given":"Simon"},{"family":"Markou","given":"Christopher"}],"author":[{"family":"Hildebrandt","given":"Mireille"}],"accessed":{"date-parts":[["2026",4,3]]},"issued":{"date-parts":[["2020"]]}}}],"schema":"https://github.com/citation-style-language/schema/raw/master/csl-citation.json"} </w:instrText>
      </w:r>
      <w:r>
        <w:fldChar w:fldCharType="separate"/>
      </w:r>
      <w:r w:rsidRPr="005313AC">
        <w:rPr>
          <w:rFonts w:cs="Times New Roman"/>
          <w:kern w:val="0"/>
          <w:lang w:bidi="yi-Hebr"/>
        </w:rPr>
        <w:t xml:space="preserve"> Mireille Hildebrandt, </w:t>
      </w:r>
      <w:r>
        <w:t>Code-Driven</w:t>
      </w:r>
      <w:r>
        <w:rPr>
          <w:rFonts w:cs="Times New Roman"/>
          <w:i/>
          <w:iCs/>
          <w:kern w:val="0"/>
          <w:lang w:bidi="yi-Hebr"/>
        </w:rPr>
        <w:t xml:space="preserve"> Law: Freezing the Future and Scaling the </w:t>
      </w:r>
      <w:r>
        <w:t>Past</w:t>
      </w:r>
      <w:r>
        <w:rPr>
          <w:rFonts w:cs="Times New Roman"/>
          <w:i/>
          <w:iCs/>
          <w:kern w:val="0"/>
          <w:lang w:bidi="yi-Hebr"/>
        </w:rPr>
        <w:t xml:space="preserve"> </w:t>
      </w:r>
      <w:r w:rsidRPr="005313AC">
        <w:rPr>
          <w:rFonts w:cs="Times New Roman"/>
          <w:kern w:val="0"/>
          <w:lang w:bidi="yi-Hebr"/>
        </w:rPr>
        <w:t xml:space="preserve">(2020), http://www.bloomsburycollections.com/book/is-law-computable-critical-perspectives-on-law-and-artificial-intelligence.</w:t>
      </w:r>
      <w:r>
        <w:fldChar w:fldCharType="end"/>
      </w:r>
    </w:p>
  </w:footnote>
  <w:footnote w:id="85">
    <w:p w:rsidRPr="00C86A00" w:rsidR="00C86A00" w:rsidRDefault="00C86A00" w14:paraId="6633B58B" w14:textId="2DA58941">
      <w:pPr>
        <w:pStyle w:val="FootnoteText"/>
      </w:pPr>
      <w:r>
        <w:rPr>
          <w:rStyle w:val="FootnoteReference"/>
        </w:rPr>
        <w:footnoteRef/>
      </w:r>
      <w:r>
        <w:t xml:space="preserve"> </w:t>
      </w:r>
      <w:r>
        <w:t>Cf.</w:t>
      </w:r>
      <w:r>
        <w:t xml:space="preserve"> </w:t>
      </w:r>
      <w:r w:rsidRPr="00C86A00">
        <w:t xml:space="preserve">Helen Nissenbaum, </w:t>
      </w:r>
      <w:r>
        <w:t>Values in Technical Design</w:t>
      </w:r>
      <w:r>
        <w:t xml:space="preserve">, en </w:t>
      </w:r>
      <w:r>
        <w:t>Encyclopedia of Science</w:t>
      </w:r>
      <w:r>
        <w:rPr>
          <w:smallCaps/>
        </w:rPr>
        <w:t xml:space="preserve">, </w:t>
      </w:r>
      <w:r>
        <w:t>Technology, and Ethics</w:t>
      </w:r>
      <w:r>
        <w:rPr>
          <w:smallCaps/>
        </w:rPr>
        <w:t xml:space="preserve"> </w:t>
      </w:r>
      <w:r>
        <w:t xml:space="preserve">lxvi, lxviii–lxix </w:t>
      </w:r>
      <w:r>
        <w:t>(Carl</w:t>
      </w:r>
      <w:r>
        <w:t xml:space="preserve"> Mitcham,</w:t>
      </w:r>
      <w:r>
        <w:t xml:space="preserve"> ed.,</w:t>
      </w:r>
      <w:r>
        <w:t xml:space="preserve"> Macmillan Reference USA, 2005)</w:t>
      </w:r>
      <w:r>
        <w:t xml:space="preserve">.</w:t>
      </w:r>
    </w:p>
  </w:footnote>
  <w:footnote w:id="86">
    <w:p w:rsidRPr="00C86A00" w:rsidR="00C86A00" w:rsidP="00C86A00" w:rsidRDefault="00C86A00" w14:paraId="145AF99B" w14:textId="6DF88386">
      <w:pPr>
        <w:pStyle w:val="FootnoteText"/>
      </w:pPr>
      <w:r>
        <w:rPr>
          <w:rStyle w:val="FootnoteReference"/>
        </w:rPr>
        <w:footnoteRef/>
      </w:r>
      <w:r>
        <w:t xml:space="preserve"> </w:t>
      </w:r>
      <w:r w:rsidRPr="00C86A00">
        <w:t xml:space="preserve">Véase, </w:t>
      </w:r>
      <w:r>
        <w:t xml:space="preserve">por ejemplo, </w:t>
      </w:r>
      <w:r>
        <w:rPr>
          <w:smallCaps/>
        </w:rPr>
        <w:t xml:space="preserve">Nathalie A. Smuha, </w:t>
      </w:r>
      <w:r>
        <w:t>Algorithmic</w:t>
      </w:r>
      <w:r>
        <w:rPr>
          <w:smallCaps/>
        </w:rPr>
        <w:t xml:space="preserve"> Rule by Law: How Algorithmic Regulation in the Public Sector Erodes the Rule of </w:t>
      </w:r>
      <w:r>
        <w:t>Law</w:t>
      </w:r>
      <w:r>
        <w:t xml:space="preserve"> 151, 205–29 (Cambridge Univ. Press, 2024)</w:t>
      </w:r>
      <w:r>
        <w:t xml:space="preserve">. </w:t>
      </w:r>
      <w:r>
        <w:t>El</w:t>
      </w:r>
      <w:r>
        <w:t xml:space="preserve"> argumento </w:t>
      </w:r>
      <w:r>
        <w:t>puede</w:t>
      </w:r>
      <w:r>
        <w:t xml:space="preserve"> entenderse </w:t>
      </w:r>
      <w:r>
        <w:t>así</w:t>
      </w:r>
      <w:r>
        <w:t xml:space="preserve">: </w:t>
      </w:r>
      <w:r>
        <w:t xml:space="preserve">conceptos jurídicos como la igualdad y la razonabilidad pueden reflejarse en cálculos matemáticos y programarse en sistemas algorítmicos. </w:t>
      </w:r>
      <w:r>
        <w:t>Esos</w:t>
      </w:r>
      <w:r>
        <w:t xml:space="preserve"> conceptos no se entienden necesariamente de manera uniforme</w:t>
      </w:r>
      <w:r>
        <w:t xml:space="preserve">. Su interpretación y </w:t>
      </w:r>
      <w:r>
        <w:t xml:space="preserve">su </w:t>
      </w:r>
      <w:r>
        <w:t xml:space="preserve">codificación encarnan </w:t>
      </w:r>
      <w:r>
        <w:t>decisiones</w:t>
      </w:r>
      <w:r>
        <w:t xml:space="preserve"> normativas. </w:t>
      </w:r>
      <w:r>
        <w:t xml:space="preserve">La discrecionalidad que </w:t>
      </w:r>
      <w:r>
        <w:t>entraña</w:t>
      </w:r>
      <w:r>
        <w:t xml:space="preserve"> la interpretación de las </w:t>
      </w:r>
      <w:r>
        <w:t>reglas</w:t>
      </w:r>
      <w:r>
        <w:t xml:space="preserve"> jurídicas se </w:t>
      </w:r>
      <w:r>
        <w:t>desplaza aguas arriba, hacia</w:t>
      </w:r>
      <w:r>
        <w:t xml:space="preserve"> los programadores</w:t>
      </w:r>
      <w:r>
        <w:t xml:space="preserve"> </w:t>
      </w:r>
      <w:r>
        <w:t>que</w:t>
      </w:r>
      <w:r>
        <w:t xml:space="preserve"> traducen y </w:t>
      </w:r>
      <w:r>
        <w:t>operacionalizan esas reglas</w:t>
      </w:r>
      <w:r>
        <w:t xml:space="preserve">. Ibíd., </w:t>
      </w:r>
      <w:r>
        <w:t>cap.</w:t>
      </w:r>
      <w:r>
        <w:t xml:space="preserve"> 4, </w:t>
      </w:r>
      <w:r>
        <w:t>secs.</w:t>
      </w:r>
      <w:r>
        <w:t xml:space="preserve"> 4.2.1–4.2.2</w:t>
      </w:r>
      <w:r>
        <w:t xml:space="preserve">.</w:t>
      </w:r>
    </w:p>
  </w:footnote>
  <w:footnote w:id="87">
    <w:p w:rsidRPr="00C86A00" w:rsidR="00C86A00" w:rsidP="00C86A00" w:rsidRDefault="00C86A00" w14:paraId="02DDFEA4" w14:textId="4A16DC35">
      <w:pPr>
        <w:pStyle w:val="FootnoteText"/>
      </w:pPr>
      <w:r>
        <w:rPr>
          <w:rStyle w:val="FootnoteReference"/>
        </w:rPr>
        <w:footnoteRef/>
      </w:r>
      <w:r>
        <w:t xml:space="preserve"> Véase, por ejemplo, Marco Almada, </w:t>
      </w:r>
      <w:r>
        <w:t>Regulation</w:t>
      </w:r>
      <w:r>
        <w:t xml:space="preserve"> by Design and the Governance of Technological </w:t>
      </w:r>
      <w:r>
        <w:t>Futures</w:t>
      </w:r>
      <w:r>
        <w:t xml:space="preserve">, 14 Eur. J. Risk </w:t>
      </w:r>
      <w:r>
        <w:t xml:space="preserve">Regul</w:t>
      </w:r>
      <w:r>
        <w:t xml:space="preserve">. 697, 697–702 (2023),</w:t>
      </w:r>
      <w:hyperlink w:history="1" r:id="rId1">
        <w:r>
          <w:rPr>
            <w:rStyle w:val="Hyperlink"/>
          </w:rPr>
          <w:t xml:space="preserve"> https://doi.org/10.1017/err.2023.37</w:t>
        </w:r>
      </w:hyperlink>
      <w:r>
        <w:t xml:space="preserve">; </w:t>
      </w:r>
      <w:r>
        <w:t xml:space="preserve">Oliver R. Goodenough y Preston J. Carlson, </w:t>
      </w:r>
      <w:r>
        <w:t>Words</w:t>
      </w:r>
      <w:r>
        <w:t xml:space="preserve"> or Code First? </w:t>
      </w:r>
      <w:r>
        <w:t>Is the Legacy Document or a Code Statement the Better Starting Point for Complexity-Reducing Legal Automation</w:t>
      </w:r>
      <w:r>
        <w:t>?, 382 Philos. Trans. R. Soc. A 20230160 (2024),</w:t>
      </w:r>
      <w:hyperlink w:history="1" r:id="rId2">
        <w:r>
          <w:rPr>
            <w:rStyle w:val="Hyperlink"/>
          </w:rPr>
          <w:t xml:space="preserve"> https://doi.org/10.1098/rsta.2023.0160</w:t>
        </w:r>
      </w:hyperlink>
      <w:r>
        <w:t>.</w:t>
      </w:r>
    </w:p>
  </w:footnote>
  <w:footnote w:id="88">
    <w:p w:rsidR="008207E4" w:rsidRDefault="008207E4" w14:paraId="478C74A1" w14:textId="73F18D7F">
      <w:pPr>
        <w:pStyle w:val="FootnoteText"/>
      </w:pPr>
      <w:r>
        <w:rPr>
          <w:rStyle w:val="FootnoteReference"/>
        </w:rPr>
        <w:footnoteRef/>
      </w:r>
      <w:r>
        <w:fldChar w:fldCharType="begin"/>
      </w:r>
      <w:r>
        <w:instrText xml:space="preserve"> ADDIN ZOTERO_ITEM CSL_CITATION {"citationID":"bdpyK0f8","properties":{"formattedCitation":"Danielle Keats Citron, {\\i{}Technological Due Process}, 85 {\\scaps Wash. Univ. Law Rev.} 1249 (2008).","plainCitation":"Danielle Keats Citron, Technological Due Process, 85 Wash. Univ. Law Rev. 1249 (2008).","noteIndex":42},"citationItems":[{"id":1,"uris":["http://zotero.org/users/20142566/items/V2N82G9G"],"itemData":{"id":1,"type":"article-journal","abstract":"Distinct and complementary procedures for adjudication and rulemaking lie at the heart of twentieth-century administrative law. Due process requires agencies to provide individuals notice and an opportunity to be heard. Through public rulemaking, agencies can foreclose policy issues that individuals might otherwise raise in adjudication. One system allows for focused advocacy; the other features broad participation. Each procedural regime compensates for the normative limits of the other. Both depend on clear statements of reason.","container-title":"Washington University Law Review","language":"en","page":"1249","source":"Zotero","title":"Technological Due Process","volume":"85","author":[{"family":"Citron","given":"Danielle Keats"}],"issued":{"date-parts":[["2008"]]}}}],"schema":"https://github.com/citation-style-language/schema/raw/master/csl-citation.json"} </w:instrText>
      </w:r>
      <w:r>
        <w:fldChar w:fldCharType="separate"/>
      </w:r>
      <w:r w:rsidRPr="008207E4">
        <w:rPr>
          <w:rFonts w:cs="Times New Roman"/>
          <w:kern w:val="0"/>
        </w:rPr>
        <w:t xml:space="preserve"> Danielle Keats Citron, </w:t>
      </w:r>
      <w:r>
        <w:t>Technological</w:t>
      </w:r>
      <w:r>
        <w:rPr>
          <w:rFonts w:cs="Times New Roman"/>
          <w:i/>
          <w:iCs/>
          <w:kern w:val="0"/>
        </w:rPr>
        <w:t xml:space="preserve"> Due </w:t>
      </w:r>
      <w:r>
        <w:t>Process</w:t>
      </w:r>
      <w:r>
        <w:rPr>
          <w:rFonts w:cs="Times New Roman"/>
          <w:kern w:val="0"/>
        </w:rPr>
        <w:t>, 85</w:t>
      </w:r>
      <w:r>
        <w:t xml:space="preserve"> Wash. Univ. L. Rev. </w:t>
      </w:r>
      <w:r>
        <w:rPr>
          <w:rFonts w:cs="Times New Roman"/>
          <w:kern w:val="0"/>
        </w:rPr>
        <w:t>1249 (2008).</w:t>
      </w:r>
      <w:r>
        <w:fldChar w:fldCharType="end"/>
      </w:r>
    </w:p>
  </w:footnote>
  <w:footnote w:id="89">
    <w:p w:rsidRPr="00C86A00" w:rsidR="00C86A00" w:rsidRDefault="00C86A00" w14:paraId="7D67452A" w14:textId="0E2CB467">
      <w:pPr>
        <w:pStyle w:val="FootnoteText"/>
      </w:pPr>
      <w:r>
        <w:rPr>
          <w:rStyle w:val="FootnoteReference"/>
        </w:rPr>
        <w:footnoteRef/>
      </w:r>
      <w:r>
        <w:t xml:space="preserve"> </w:t>
      </w:r>
      <w:r>
        <w:t>Cf.</w:t>
      </w:r>
      <w:r>
        <w:t xml:space="preserve"> </w:t>
      </w:r>
      <w:r>
        <w:t xml:space="preserve">James Grimmelmann, </w:t>
      </w:r>
      <w:r>
        <w:t>Regulation by Software</w:t>
      </w:r>
      <w:r>
        <w:t xml:space="preserve">, 96 </w:t>
      </w:r>
      <w:r w:rsidRPr="00C86A00">
        <w:rPr>
          <w:smallCaps/>
        </w:rPr>
        <w:t xml:space="preserve">N.C. L. Rev</w:t>
      </w:r>
      <w:r>
        <w:t xml:space="preserve">. 171, 177–83 (2017)</w:t>
      </w:r>
      <w:r>
        <w:t xml:space="preserve">. Véase, en general</w:t>
      </w:r>
      <w:r>
        <w:rPr>
          <w:smallCaps/>
        </w:rPr>
        <w:t xml:space="preserve">, Mireille Hildebrandt, </w:t>
      </w:r>
      <w:r>
        <w:t>Law for Computer Scientists and Other Folk</w:t>
      </w:r>
      <w:r>
        <w:rPr>
          <w:smallCaps/>
        </w:rPr>
        <w:t xml:space="preserve"> </w:t>
      </w:r>
      <w:r>
        <w:t xml:space="preserve">(Oxford Univ. Press, 2020).</w:t>
      </w:r>
    </w:p>
  </w:footnote>
  <w:footnote w:id="90">
    <w:p w:rsidRPr="00897E96" w:rsidR="00897E96" w:rsidRDefault="00897E96" w14:paraId="34C091B9" w14:textId="4E3ACDAF">
      <w:pPr>
        <w:pStyle w:val="FootnoteText"/>
      </w:pPr>
      <w:r>
        <w:rPr>
          <w:rStyle w:val="FootnoteReference"/>
        </w:rPr>
        <w:footnoteRef/>
      </w:r>
      <w:r>
        <w:t xml:space="preserve"> Véase, en general</w:t>
      </w:r>
      <w:r>
        <w:t xml:space="preserve">, Jenna Burrell</w:t>
      </w:r>
      <w:r>
        <w:rPr>
          <w:rStyle w:val="Emphasis"/>
        </w:rPr>
        <w:t xml:space="preserve">, </w:t>
      </w:r>
      <w:r>
        <w:t>How the Machine ‘Thinks’: Understanding Opacity in Machine Learning Algorithms</w:t>
      </w:r>
      <w:r>
        <w:t xml:space="preserve">, 3 </w:t>
      </w:r>
      <w:r w:rsidRPr="00897E96">
        <w:rPr>
          <w:smallCaps/>
        </w:rPr>
        <w:t xml:space="preserve">Big Data &amp; Soc’y, </w:t>
      </w:r>
      <w:r>
        <w:t xml:space="preserve">n.º 1, 2016, p. 1, </w:t>
      </w:r>
      <w:hyperlink w:history="1" r:id="rId3">
        <w:r>
          <w:rPr>
            <w:rStyle w:val="Hyperlink"/>
          </w:rPr>
          <w:t xml:space="preserve">https://doi.org/10.1177/2053951715622512</w:t>
        </w:r>
      </w:hyperlink>
      <w:r>
        <w:t xml:space="preserve"> (</w:t>
      </w:r>
      <w:r>
        <w:t xml:space="preserve">Burrell distingue tres formas de opacidad, </w:t>
      </w:r>
      <w:r>
        <w:t xml:space="preserve">la tercera </w:t>
      </w:r>
      <w:r>
        <w:t>de las cuales</w:t>
      </w:r>
      <w:r>
        <w:t xml:space="preserve"> surge de las características de los algoritmos de aprendizaje automático y de la escala necesaria para </w:t>
      </w:r>
      <w:r>
        <w:t>emplearlos</w:t>
      </w:r>
      <w:r>
        <w:t xml:space="preserve">); </w:t>
      </w:r>
      <w:r>
        <w:rPr>
          <w:smallCaps/>
        </w:rPr>
        <w:t xml:space="preserve">Mark C. Marino, </w:t>
      </w:r>
      <w:r>
        <w:t>Critical Code Studies</w:t>
      </w:r>
      <w:r>
        <w:rPr>
          <w:smallCaps/>
        </w:rPr>
        <w:t xml:space="preserve"> </w:t>
      </w:r>
      <w:r w:rsidRPr="00897E96">
        <w:t xml:space="preserve">(2020) </w:t>
      </w:r>
      <w:r>
        <w:t xml:space="preserve">(</w:t>
      </w:r>
      <w:r>
        <w:t xml:space="preserve">Marino sostiene que el código significa más </w:t>
      </w:r>
      <w:r>
        <w:t>de</w:t>
      </w:r>
      <w:r>
        <w:t xml:space="preserve"> lo que hace</w:t>
      </w:r>
      <w:r>
        <w:t xml:space="preserve"> y que debe leerse críticamente </w:t>
      </w:r>
      <w:r>
        <w:t>por</w:t>
      </w:r>
      <w:r>
        <w:t xml:space="preserve"> lo que significa</w:t>
      </w:r>
      <w:r>
        <w:t xml:space="preserve">).</w:t>
      </w:r>
    </w:p>
  </w:footnote>
  <w:footnote w:id="91">
    <w:p w:rsidR="004817E5" w:rsidRDefault="00000000" w14:paraId="2766A0DB"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Pero véase Zachery C. Lipton, </w:t>
      </w:r>
      <w:r>
        <w:t>The mythos of model interpretability</w:t>
      </w:r>
      <w:r>
        <w:rPr>
          <w:rFonts w:ascii="Times New Roman" w:hAnsi="Times New Roman" w:cs="Times New Roman"/>
          <w:i/>
          <w:iCs/>
        </w:rPr>
        <w:t xml:space="preserve">: </w:t>
      </w:r>
      <w:r>
        <w:t>In machine learning</w:t>
      </w:r>
      <w:r>
        <w:rPr>
          <w:rFonts w:ascii="Times New Roman" w:hAnsi="Times New Roman" w:cs="Times New Roman"/>
          <w:i/>
          <w:iCs/>
        </w:rPr>
        <w:t xml:space="preserve">, </w:t>
      </w:r>
      <w:r>
        <w:t>the concept of interpretability is both important and slippery</w:t>
      </w:r>
      <w:r>
        <w:rPr>
          <w:rFonts w:ascii="Times New Roman" w:hAnsi="Times New Roman" w:cs="Times New Roman"/>
          <w:i/>
          <w:iCs/>
        </w:rPr>
        <w:t>,</w:t>
      </w:r>
      <w:r>
        <w:rPr>
          <w:rFonts w:ascii="Times New Roman" w:hAnsi="Times New Roman" w:cs="Times New Roman"/>
        </w:rPr>
        <w:t xml:space="preserve"> 16(3) </w:t>
      </w:r>
      <w:r>
        <w:rPr>
          <w:rFonts w:ascii="Times New Roman" w:hAnsi="Times New Roman" w:cs="Times New Roman"/>
          <w:smallCaps/>
        </w:rPr>
        <w:t xml:space="preserve">Queue</w:t>
      </w:r>
      <w:r>
        <w:rPr>
          <w:rFonts w:ascii="Times New Roman" w:hAnsi="Times New Roman" w:cs="Times New Roman"/>
        </w:rPr>
        <w:t xml:space="preserve"> 31–57 (2018); disponible en https://doi.org/10.1145/3236386.3241340.</w:t>
      </w:r>
    </w:p>
  </w:footnote>
  <w:footnote w:id="92">
    <w:p w:rsidR="005B285B" w:rsidRDefault="005B285B" w14:paraId="2E79D4C8" w14:textId="131B5BD0">
      <w:pPr>
        <w:pStyle w:val="FootnoteText"/>
      </w:pPr>
      <w:r>
        <w:rPr>
          <w:rStyle w:val="FootnoteReference"/>
        </w:rPr>
        <w:footnoteRef/>
      </w:r>
      <w:r>
        <w:fldChar w:fldCharType="begin"/>
      </w:r>
      <w:r w:rsidR="005477FE">
        <w:instrText xml:space="preserve"> ADDIN ZOTERO_ITEM CSL_CITATION {"citationID":"t7ivH6Eg","properties":{"formattedCitation":"Vitalik Buterin, {\\i{}Ethereum: A Next-Generation Smart Contract and Decentralized Application Platform} (2019); Gavin Wood, {\\i{}Ethereum: A Secure Decentralised Generalised Transaction Ledger} (2025), https://www.example.com/ethereum-a-secure-decentralized-generalised-transaction-ledger.","plainCitation":"Vitalik Buterin, Ethereum: A Next-Generation Smart Contract and Decentralized Application Platform (2019); Gavin Wood, Ethereum: A Secure Decentralised Generalised Transaction Ledger (2025), https://www.example.com/ethereum-a-secure-decentralized-generalised-transaction-ledger.","noteIndex":45},"citationItems":[{"id":14,"uris":["http://zotero.org/users/20142566/items/D2W2SWLI"],"itemData":{"id":14,"type":"article-journal","abstract":"This book is a meditation on the future of law and legal institutions in the networked information age. Its central claims are that as our political economy transforms, our legal institutions too are undergoing transformation, and the two sets of processes are inextricably related.","language":"en","publisher":"Oxford University Press","publisher-place":"New York, NY","source":"Zotero","title":"Ethereum: A Next-Generation Smart Contract and Decentralized Application Platform","author":[{"family":"Buterin","given":"Vitalik"}],"issued":{"date-parts":[["2019",7]]}}},{"id":8,"uris":["http://zotero.org/users/20142566/items/664SGRRS"],"itemData":{"id":8,"type":"article-journal","abstract":"The blockchain paradigm when coupled with cryptographically-secured transactions has demonstrated its utility through a number of projects, with Bitcoin being one of the most notable ones. Each such project can be seen as a simple application on a decentralised, but singleton, compute resource. We can call this paradigm a transactional singleton machine with shared-state.","language":"en","source":"Zotero","title":"Ethereum: A Secure Decentralised Generalised Transaction Ledger","URL":"https://www.example.com/ethereum-a-secure-decentralized-generalised-transaction-ledger","author":[{"family":"Wood","given":"Gavin"}],"issued":{"date-parts":[["2025",2,4]]}}}],"schema":"https://github.com/citation-style-language/schema/raw/master/csl-citation.json"} </w:instrText>
      </w:r>
      <w:r>
        <w:fldChar w:fldCharType="separate"/>
      </w:r>
      <w:r w:rsidRPr="005477FE" w:rsidR="005477FE">
        <w:rPr>
          <w:rFonts w:cs="Times New Roman"/>
          <w:kern w:val="0"/>
        </w:rPr>
        <w:t xml:space="preserve"> Vitalik Buterin, </w:t>
      </w:r>
      <w:r>
        <w:t>Ethereum</w:t>
      </w:r>
      <w:r>
        <w:rPr>
          <w:rFonts w:cs="Times New Roman"/>
          <w:i/>
          <w:iCs/>
          <w:kern w:val="0"/>
        </w:rPr>
        <w:t xml:space="preserve">: </w:t>
      </w:r>
      <w:r>
        <w:t>A Next-Generation Smart Contract and Decentralized Application Platform</w:t>
      </w:r>
      <w:r>
        <w:rPr>
          <w:rFonts w:cs="Times New Roman"/>
          <w:kern w:val="0"/>
        </w:rPr>
        <w:t xml:space="preserve"> (2019); Gavin Wood, </w:t>
      </w:r>
      <w:r>
        <w:t>Ethereum</w:t>
      </w:r>
      <w:r>
        <w:rPr>
          <w:rFonts w:cs="Times New Roman"/>
          <w:i/>
          <w:iCs/>
          <w:kern w:val="0"/>
        </w:rPr>
        <w:t xml:space="preserve">: </w:t>
      </w:r>
      <w:r>
        <w:t>A Secure Decentralised Generalised Transaction Ledger (2025</w:t>
      </w:r>
      <w:r>
        <w:rPr>
          <w:rFonts w:cs="Times New Roman"/>
          <w:kern w:val="0"/>
        </w:rPr>
        <w:t>), https://www.example.com/ethereum-a-secure-decentralized-generalised-transaction-ledger.</w:t>
      </w:r>
      <w:r>
        <w:fldChar w:fldCharType="end"/>
      </w:r>
    </w:p>
  </w:footnote>
  <w:footnote w:id="93">
    <w:p w:rsidR="004817E5" w:rsidRDefault="00000000" w14:paraId="2735C1F5"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«Al menos por el momento, la opacidad se percibe como un problema práctico (Lipton, 2018; Watson, 2022) y se </w:t>
      </w:r>
      <w:r>
        <w:t>procura</w:t>
      </w:r>
      <w:r>
        <w:rPr>
          <w:rFonts w:ascii="Times New Roman" w:hAnsi="Times New Roman" w:cs="Times New Roman"/>
        </w:rPr>
        <w:t xml:space="preserve"> reducirla. No está claro si los métodos </w:t>
      </w:r>
      <w:r>
        <w:t>hoy</w:t>
      </w:r>
      <w:r>
        <w:rPr>
          <w:rFonts w:ascii="Times New Roman" w:hAnsi="Times New Roman" w:cs="Times New Roman"/>
        </w:rPr>
        <w:t xml:space="preserve"> en boga de la XAI pueden reducir la opacidad por debajo del umbral </w:t>
      </w:r>
      <w:r>
        <w:t>requerido</w:t>
      </w:r>
      <w:r>
        <w:rPr>
          <w:rFonts w:ascii="Times New Roman" w:hAnsi="Times New Roman" w:cs="Times New Roman"/>
        </w:rPr>
        <w:t xml:space="preserve"> para que se active la habituación». Nico Formánek</w:t>
      </w:r>
      <w:r>
        <w:rPr>
          <w:rFonts w:ascii="Times New Roman" w:hAnsi="Times New Roman" w:cs="Times New Roman"/>
          <w:i/>
          <w:iCs/>
        </w:rPr>
        <w:t xml:space="preserve">, </w:t>
      </w:r>
      <w:r>
        <w:t>How I Stopped Worrying and Learned to Love Opacity</w:t>
      </w:r>
      <w:r>
        <w:rPr>
          <w:rFonts w:ascii="Times New Roman" w:hAnsi="Times New Roman" w:cs="Times New Roman"/>
        </w:rPr>
        <w:t xml:space="preserve">, </w:t>
      </w:r>
      <w:r>
        <w:rPr>
          <w:rFonts w:ascii="Times New Roman" w:hAnsi="Times New Roman" w:cs="Times New Roman"/>
          <w:smallCaps/>
        </w:rPr>
        <w:t xml:space="preserve">en </w:t>
      </w:r>
      <w:r>
        <w:t>Philosophy of Science for Machine Learning</w:t>
      </w:r>
      <w:r>
        <w:rPr>
          <w:rFonts w:ascii="Times New Roman" w:hAnsi="Times New Roman" w:cs="Times New Roman"/>
        </w:rPr>
        <w:t xml:space="preserve">: </w:t>
      </w:r>
      <w:r>
        <w:t>Core Issues and New Perspectives</w:t>
      </w:r>
      <w:r>
        <w:rPr>
          <w:rFonts w:ascii="Times New Roman" w:hAnsi="Times New Roman" w:cs="Times New Roman"/>
        </w:rPr>
        <w:t xml:space="preserve"> 25-36, 33 (Juan M. Durán y </w:t>
      </w:r>
      <w:r>
        <w:rPr>
          <w:rFonts w:ascii="Times New Roman" w:hAnsi="Times New Roman" w:cs="Times New Roman"/>
        </w:rPr>
        <w:t xml:space="preserve">Girogia </w:t>
      </w:r>
      <w:r>
        <w:rPr>
          <w:rFonts w:ascii="Times New Roman" w:hAnsi="Times New Roman" w:cs="Times New Roman"/>
        </w:rPr>
        <w:t>Pozzi</w:t>
      </w:r>
      <w:r>
        <w:t>,</w:t>
      </w:r>
      <w:r>
        <w:rPr>
          <w:rFonts w:ascii="Times New Roman" w:hAnsi="Times New Roman" w:cs="Times New Roman"/>
        </w:rPr>
        <w:t xml:space="preserve"> </w:t>
      </w:r>
      <w:r>
        <w:t>eds.,</w:t>
      </w:r>
      <w:r>
        <w:rPr>
          <w:rFonts w:ascii="Times New Roman" w:hAnsi="Times New Roman" w:cs="Times New Roman"/>
        </w:rPr>
        <w:t xml:space="preserve"> Springer Nature, 2026).</w:t>
      </w:r>
    </w:p>
  </w:footnote>
  <w:footnote w:id="94">
    <w:p w:rsidR="003D5A83" w:rsidRDefault="00000000" w14:paraId="70F4ECF8" w14:textId="77777777">
      <w:pPr>
        <w:pStyle w:val="FootnoteText"/>
      </w:pPr>
      <w:r>
        <w:rPr>
          <w:rStyle w:val="FootnoteReference"/>
        </w:rPr>
        <w:footnoteRef/>
      </w:r>
      <w:r>
        <w:t xml:space="preserve"> Un contrato se crea en Ethereum mediante una transacción que contiene su código compilado, y solo ese código de bytes se almacena en la cadena. </w:t>
      </w:r>
      <w:r>
        <w:rPr>
          <w:i/>
          <w:iCs/>
        </w:rPr>
        <w:t xml:space="preserve">Véase </w:t>
      </w:r>
      <w:r>
        <w:t xml:space="preserve">Gavin Wood, </w:t>
      </w:r>
      <w:r>
        <w:rPr>
          <w:i/>
          <w:iCs/>
        </w:rPr>
        <w:t xml:space="preserve">Ethereum: A Secure </w:t>
      </w:r>
      <w:r>
        <w:rPr>
          <w:i/>
          <w:iCs/>
        </w:rPr>
        <w:t xml:space="preserve">Decentralised </w:t>
      </w:r>
      <w:r>
        <w:rPr>
          <w:i/>
          <w:iCs/>
        </w:rPr>
        <w:t xml:space="preserve">Generalised </w:t>
      </w:r>
      <w:r>
        <w:rPr>
          <w:i/>
          <w:iCs/>
        </w:rPr>
        <w:t xml:space="preserve">Transaction Ledger</w:t>
      </w:r>
      <w:r>
        <w:t xml:space="preserve">, § 7 (Yellow Paper), https://ethereum.github.io/yellowpaper/paper.pdf. Los servicios de verificación recompilan cualquier código fuente que el desarrollador decida publicar y comparan el resultado con el código de bytes en la cadena. </w:t>
      </w:r>
      <w:r>
        <w:rPr>
          <w:i/>
          <w:iCs/>
        </w:rPr>
        <w:t xml:space="preserve">Véase, por ejemplo</w:t>
      </w:r>
      <w:r>
        <w:t xml:space="preserve">, </w:t>
      </w:r>
      <w:r>
        <w:t xml:space="preserve">Sourcify</w:t>
      </w:r>
      <w:r>
        <w:t xml:space="preserve">, </w:t>
      </w:r>
      <w:r>
        <w:rPr>
          <w:i/>
          <w:iCs/>
        </w:rPr>
        <w:t xml:space="preserve">«Exact Match vs. Match</w:t>
      </w:r>
      <w:r>
        <w:t xml:space="preserve">», https://docs.sourcify.dev/docs/exact-match-vs-match/ (última visita el 26 de octubre de 2026).</w:t>
      </w:r>
    </w:p>
  </w:footnote>
  <w:footnote w:id="95">
    <w:p w:rsidR="000E140A" w:rsidRDefault="000E140A" w14:paraId="449CCAEF" w14:textId="76B9503D">
      <w:pPr>
        <w:pStyle w:val="FootnoteText"/>
      </w:pPr>
      <w:r>
        <w:rPr>
          <w:rStyle w:val="FootnoteReference"/>
        </w:rPr>
        <w:footnoteRef/>
      </w:r>
      <w:r>
        <w:fldChar w:fldCharType="begin"/>
      </w:r>
      <w:r w:rsidRPr="004E3A22">
        <w:rPr>
          <w:lang w:val="es-ES"/>
        </w:rPr>
        <w:instrText xml:space="preserve"> ADDIN ZOTERO_ITEM CSL_CITATION {"citationID":"x8nxCIl7","properties":{"formattedCitation":"Google LLC v. Oracle America, Inc. (Supreme Court of the United States 2021).","plainCitation":"Google LLC v. Oracle America, Inc. (Supreme Court of the United States 2021).","noteIndex":44},"citationItems":[{"id":5,"uris":["http://zotero.org/users/20142566/items/UNLBCYGD"],"itemData":{"id":5,"type":"legal_case","authority":"Supreme Court of the United States","language":"en","number":"18-956","title":"Google LLC v. Oracle America, Inc.","issued":{"date-parts":[["2021",4,5]]}}}],"schema":"https://github.com/citation-style-language/schema/raw/master/csl-citation.json"} </w:instrText>
      </w:r>
      <w:r>
        <w:fldChar w:fldCharType="separate"/>
      </w:r>
      <w:r>
        <w:rPr>
          <w:lang w:val="es-ES"/>
        </w:rPr>
        <w:t xml:space="preserve"> Google LLC </w:t>
      </w:r>
      <w:r>
        <w:t>v.</w:t>
      </w:r>
      <w:r>
        <w:rPr>
          <w:lang w:val="es-ES"/>
        </w:rPr>
        <w:t xml:space="preserve"> Oracle </w:t>
      </w:r>
      <w:r w:rsidRPr="004E3A22">
        <w:rPr>
          <w:lang w:val="es-ES"/>
        </w:rPr>
        <w:t xml:space="preserve">America</w:t>
      </w:r>
      <w:r w:rsidRPr="004E3A22">
        <w:rPr>
          <w:lang w:val="es-ES"/>
        </w:rPr>
        <w:t xml:space="preserve">, Inc. </w:t>
      </w:r>
      <w:r>
        <w:t>(Corte Suprema</w:t>
      </w:r>
      <w:r>
        <w:t xml:space="preserve"> de los Estados Unidos, 2021).</w:t>
      </w:r>
      <w:r>
        <w:fldChar w:fldCharType="end"/>
      </w:r>
    </w:p>
  </w:footnote>
  <w:footnote w:id="96">
    <w:p w:rsidR="004817E5" w:rsidRDefault="00000000" w14:paraId="545EAA05"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Véase, por ejemplo, </w:t>
      </w:r>
      <w:r>
        <w:rPr>
          <w:rFonts w:ascii="Times New Roman" w:hAnsi="Times New Roman" w:cs="Times New Roman"/>
        </w:rPr>
        <w:t xml:space="preserve">Anurang </w:t>
      </w:r>
      <w:r>
        <w:rPr>
          <w:rFonts w:ascii="Times New Roman" w:hAnsi="Times New Roman" w:cs="Times New Roman"/>
        </w:rPr>
        <w:t xml:space="preserve">Shrivastava, </w:t>
      </w:r>
      <w:r>
        <w:rPr>
          <w:rFonts w:ascii="Times New Roman" w:hAnsi="Times New Roman" w:cs="Times New Roman"/>
        </w:rPr>
        <w:t xml:space="preserve">Rvs </w:t>
      </w:r>
      <w:r>
        <w:rPr>
          <w:rFonts w:ascii="Times New Roman" w:hAnsi="Times New Roman" w:cs="Times New Roman"/>
        </w:rPr>
        <w:t xml:space="preserve">Praveen, Read H. C. Alfilh, Navdeep Singh, Kanchan Yadav y B. Rajalakshmi, </w:t>
      </w:r>
      <w:r>
        <w:t>AI-Driven Fault Resilience</w:t>
      </w:r>
      <w:r>
        <w:rPr>
          <w:rFonts w:ascii="Times New Roman" w:hAnsi="Times New Roman" w:cs="Times New Roman"/>
          <w:i/>
          <w:iCs/>
        </w:rPr>
        <w:t xml:space="preserve">: </w:t>
      </w:r>
      <w:r>
        <w:t>Integrating Deep Graph Neural Networks in Spatio-Temporal Smart Grid Monitoring, 2025 International Conference on Computing and Communications</w:t>
      </w:r>
      <w:r>
        <w:rPr>
          <w:rFonts w:ascii="Times New Roman" w:hAnsi="Times New Roman" w:cs="Times New Roman"/>
          <w:smallCaps/>
        </w:rPr>
        <w:t xml:space="preserve"> </w:t>
      </w:r>
      <w:r>
        <w:rPr>
          <w:rFonts w:ascii="Times New Roman" w:hAnsi="Times New Roman" w:cs="Times New Roman"/>
        </w:rPr>
        <w:t>(COMPUTINGCON</w:t>
      </w:r>
      <w:r>
        <w:t>),</w:t>
      </w:r>
      <w:r>
        <w:rPr>
          <w:rFonts w:ascii="Times New Roman" w:hAnsi="Times New Roman" w:cs="Times New Roman"/>
          <w:i/>
          <w:iCs/>
        </w:rPr>
        <w:t xml:space="preserve"> </w:t>
      </w:r>
      <w:r>
        <w:rPr>
          <w:rFonts w:ascii="Times New Roman" w:hAnsi="Times New Roman" w:cs="Times New Roman"/>
        </w:rPr>
        <w:t xml:space="preserve">Talegaon, India, 2025, pp. 1-7, </w:t>
      </w:r>
      <w:r>
        <w:rPr>
          <w:rFonts w:ascii="Times New Roman" w:hAnsi="Times New Roman" w:cs="Times New Roman"/>
        </w:rPr>
        <w:t xml:space="preserve">doi</w:t>
      </w:r>
      <w:r>
        <w:rPr>
          <w:rFonts w:ascii="Times New Roman" w:hAnsi="Times New Roman" w:cs="Times New Roman"/>
        </w:rPr>
        <w:t xml:space="preserve">: 10.1109/COMPUTINGCON64838.2025.11377902.</w:t>
      </w:r>
    </w:p>
  </w:footnote>
  <w:footnote w:id="97">
    <w:p w:rsidR="004523F7" w:rsidRDefault="004523F7" w14:paraId="7E1416F2" w14:textId="0B04CDE1">
      <w:pPr>
        <w:pStyle w:val="FootnoteText"/>
      </w:pPr>
      <w:r>
        <w:rPr>
          <w:rStyle w:val="FootnoteReference"/>
        </w:rPr>
        <w:footnoteRef/>
      </w:r>
      <w:r>
        <w:fldChar w:fldCharType="begin"/>
      </w:r>
      <w:r>
        <w:instrText xml:space="preserve"> ADDIN ZOTERO_ITEM CSL_CITATION {"citationID":"IYgQOzmO","properties":{"formattedCitation":"See Agustin V Startari, {\\i{}Regulatory Legitimacy Without Referents: On the Syntax of AI-Generated Legal Drafts}, {\\scaps AI Power Discourse} (2025), https://www.aacademica.org/agustin.v.startari/188 (discussion on machine generated law losing meaning).","plainCitation":"See Agustin V Startari, Regulatory Legitimacy Without Referents: On the Syntax of AI-Generated Legal Drafts, AI Power Discourse (2025), https://www.aacademica.org/agustin.v.startari/188 (discussion on machine generated law losing meaning).","noteIndex":44},"citationItems":[{"id":2,"uris":["http://zotero.org/users/20142566/items/PEJ6R8CJ"],"itemData":{"id":2,"type":"article-journal","abstract":"This article analyzes how AI-generated legal texts simulate legitimacy without referencing a sovereign authority. Based on a provenance-verified corpus of machine-generated documents, including contracts, terms of service, and automated policy clauses, the study shows that the legislator is structurally displaced by recurring patterns of passive voice, normative conditionals, and chains of subordinate clauses. The result is legalidad sin fuente (sourceless legality), where the appearance of regulatory authority is produced by syntactic form rather than institutional attribution. Comparing these drafts with traditional legislative writing, the article outlines a typology that instantiates autoridad no referencial and identifies a dual risk: loss of authority traceability and an accountability gap in the binding effects of these texts. This syntactic delegation constitutes a paradigm of regla compilada, situated within the tradition of formal grammars, in which language enacts governance without a governing subject.","container-title":"AI Power and Discourse","language":"en","source":"Zotero","title":"Regulatory Legitimacy Without Referents: On the Syntax of AI-Generated Legal Drafts","URL":"https://www.aacademica.org/agustin.v.startari/188","author":[{"family":"Startari","given":"Agustin V"}],"issued":{"date-parts":[["2025",8,6]]}},"prefix":"See","suffix":" (discussion on machine generated law losing meaning)"}],"schema":"https://github.com/citation-style-language/schema/raw/master/csl-citation.json"} </w:instrText>
      </w:r>
      <w:r>
        <w:fldChar w:fldCharType="separate"/>
      </w:r>
      <w:r>
        <w:rPr>
          <w:rFonts w:cs="Times New Roman"/>
          <w:kern w:val="0"/>
        </w:rPr>
        <w:t xml:space="preserve"> Véase </w:t>
      </w:r>
      <w:r>
        <w:t>Agustin</w:t>
      </w:r>
      <w:r>
        <w:rPr>
          <w:rFonts w:cs="Times New Roman"/>
          <w:kern w:val="0"/>
        </w:rPr>
        <w:t xml:space="preserve"> V. </w:t>
      </w:r>
      <w:r w:rsidRPr="004523F7">
        <w:rPr>
          <w:rFonts w:cs="Times New Roman"/>
          <w:kern w:val="0"/>
        </w:rPr>
        <w:t xml:space="preserve">Startari</w:t>
      </w:r>
      <w:r>
        <w:rPr>
          <w:rFonts w:cs="Times New Roman"/>
          <w:i/>
          <w:iCs/>
          <w:kern w:val="0"/>
        </w:rPr>
        <w:t xml:space="preserve">, </w:t>
      </w:r>
      <w:r>
        <w:t>Regulatory Legitimacy Without Referents: On</w:t>
      </w:r>
      <w:r>
        <w:rPr>
          <w:rFonts w:cs="Times New Roman"/>
          <w:kern w:val="0"/>
        </w:rPr>
        <w:t xml:space="preserve"> </w:t>
      </w:r>
      <w:r>
        <w:t>the Syntax of AI-Generated Legal Drafts</w:t>
      </w:r>
      <w:r w:rsidRPr="004523F7">
        <w:rPr>
          <w:rFonts w:cs="Times New Roman"/>
          <w:kern w:val="0"/>
        </w:rPr>
        <w:t xml:space="preserve">, </w:t>
      </w:r>
      <w:r>
        <w:t>AI Power Discourse (2025), https://www.aacademica.org/agustin.v.startari/188 (sobre la pérdida de significado del derecho generado por máquinas).</w:t>
      </w:r>
      <w:r>
        <w:fldChar w:fldCharType="end"/>
      </w:r>
    </w:p>
  </w:footnote>
  <w:footnote w:id="98">
    <w:p w:rsidRPr="00D27BF6" w:rsidR="00D27BF6" w:rsidRDefault="00D27BF6" w14:paraId="74B5E08F" w14:textId="43EC6C4B">
      <w:pPr>
        <w:pStyle w:val="FootnoteText"/>
      </w:pPr>
      <w:r>
        <w:rPr>
          <w:rStyle w:val="FootnoteReference"/>
        </w:rPr>
        <w:footnoteRef/>
      </w:r>
      <w:r>
        <w:t xml:space="preserve"> Véase Annie </w:t>
      </w:r>
      <w:r>
        <w:t xml:space="preserve">Gentès</w:t>
      </w:r>
      <w:r>
        <w:t xml:space="preserve">, </w:t>
      </w:r>
      <w:r>
        <w:t>The Game Mechanics of Pervasive Applications</w:t>
      </w:r>
      <w:r>
        <w:t xml:space="preserve">: </w:t>
      </w:r>
      <w:r>
        <w:t>Visiting the Uncanny</w:t>
      </w:r>
      <w:r>
        <w:t>, 18(1-2) New Rev. Hypermedia &amp; Multimedia</w:t>
      </w:r>
      <w:r>
        <w:t xml:space="preserve"> 91-108 (2012).</w:t>
      </w:r>
    </w:p>
  </w:footnote>
  <w:footnote w:id="99">
    <w:p w:rsidR="00044AC7" w:rsidRDefault="00044AC7" w14:paraId="66CC4653" w14:textId="35BE3DCA">
      <w:pPr>
        <w:pStyle w:val="FootnoteText"/>
      </w:pPr>
      <w:r>
        <w:rPr>
          <w:rStyle w:val="FootnoteReference"/>
        </w:rPr>
        <w:footnoteRef/>
      </w:r>
      <w:r>
        <w:fldChar w:fldCharType="begin"/>
      </w:r>
      <w:r>
        <w:instrText xml:space="preserve"> ADDIN ZOTERO_ITEM CSL_CITATION {"citationID":"hDmwqe72","properties":{"formattedCitation":"Kevin Werbach, {\\i{}A Layered Model For Internet Policy}, 1 {\\scaps Telecommun. High Technol. Law} (2002).","plainCitation":"Kevin Werbach, A Layered Model For Internet Policy, 1 Telecommun. High Technol. Law (2002).","noteIndex":49},"citationItems":[{"id":20,"uris":["http://zotero.org/users/20142566/items/58KD7YGH"],"itemData":{"id":20,"type":"article-journal","abstract":"Today, communications regulators mechanically apply outmoded categories to novel converged services, creating irresolvable contradictions and forcing hair-splitting distinctions that seldom hold up under the strain of judicial review or market forces. Policy-makers should reformulate communications policy around the technical architecture of the Internet itself, which is based on end-to-end design and a layered protocol stack. Horizontal service and geographic classifications should be reconceived in terms of four layers: content, applications or services, logic and physical infrastructure. Different policy approaches should be used for each layer, and regulators should turn their attention from pricing to the openness of interfaces between layers and competing services. The layered model would make many of the conflicts that bedevil regulators more tractable. It would bring important issues to the surface, and would put communications policy on a sound footing for the future.","container-title":"Telecommunications &amp; High Technology Law","language":"en","source":"Zotero","title":"A Layered Model For Internet Policy","volume":"1","author":[{"family":"Werbach","given":"Kevin"}],"issued":{"date-parts":[["2002"]]}}}],"schema":"https://github.com/citation-style-language/schema/raw/master/csl-citation.json"} </w:instrText>
      </w:r>
      <w:r>
        <w:fldChar w:fldCharType="separate"/>
      </w:r>
      <w:r w:rsidRPr="00044AC7">
        <w:rPr>
          <w:rFonts w:cs="Times New Roman"/>
          <w:kern w:val="0"/>
        </w:rPr>
        <w:t xml:space="preserve"> Kevin Werbach, </w:t>
      </w:r>
      <w:r>
        <w:t>A Layered Model For Internet Policy</w:t>
      </w:r>
      <w:r w:rsidRPr="00044AC7">
        <w:rPr>
          <w:rFonts w:cs="Times New Roman"/>
          <w:kern w:val="0"/>
        </w:rPr>
        <w:t xml:space="preserve">, 1 </w:t>
      </w:r>
      <w:r>
        <w:t>Telecommun</w:t>
      </w:r>
      <w:r w:rsidRPr="00044AC7">
        <w:rPr>
          <w:rFonts w:cs="Times New Roman"/>
          <w:smallCaps/>
          <w:kern w:val="0"/>
        </w:rPr>
        <w:t xml:space="preserve">. High Technol. Law</w:t>
      </w:r>
      <w:r w:rsidRPr="00044AC7">
        <w:rPr>
          <w:rFonts w:cs="Times New Roman"/>
          <w:kern w:val="0"/>
        </w:rPr>
        <w:t xml:space="preserve"> (2002).</w:t>
      </w:r>
      <w:r>
        <w:fldChar w:fldCharType="end"/>
      </w:r>
    </w:p>
  </w:footnote>
  <w:footnote w:id="100">
    <w:p w:rsidR="00BB4527" w:rsidP="00BB4527" w:rsidRDefault="00334DF3" w14:paraId="73FAD042" w14:textId="23D2F2B3">
      <w:pPr>
        <w:pStyle w:val="FootnoteText"/>
      </w:pPr>
      <w:r>
        <w:rPr>
          <w:rStyle w:val="FootnoteReference"/>
        </w:rPr>
        <w:footnoteRef/>
      </w:r>
      <w:r>
        <w:t xml:space="preserve"> Cabe </w:t>
      </w:r>
      <w:r>
        <w:t>subrayar</w:t>
      </w:r>
      <w:r>
        <w:t xml:space="preserve"> que </w:t>
      </w:r>
      <w:r w:rsidR="00BB4527">
        <w:t xml:space="preserve">la legibilidad </w:t>
      </w:r>
      <w:r>
        <w:t>es</w:t>
      </w:r>
      <w:r>
        <w:t xml:space="preserve"> aquí</w:t>
      </w:r>
      <w:r>
        <w:t xml:space="preserve"> relativa, en el sentido de que, con suficiente esfuerzo y herramientas, el lenguaje de máquina puede «leerse», aunque </w:t>
      </w:r>
      <w:r>
        <w:t xml:space="preserve">sigue siendo una </w:t>
      </w:r>
      <w:r>
        <w:t>cuestión elusiva</w:t>
      </w:r>
      <w:r>
        <w:t xml:space="preserve"> </w:t>
      </w:r>
      <w:r>
        <w:t xml:space="preserve">si </w:t>
      </w:r>
      <w:r>
        <w:t xml:space="preserve">los seres humanos </w:t>
      </w:r>
      <w:r>
        <w:t xml:space="preserve">pueden </w:t>
      </w:r>
      <w:r>
        <w:t>comprenderlo del modo en</w:t>
      </w:r>
      <w:r>
        <w:t xml:space="preserve"> que una máquina </w:t>
      </w:r>
      <w:r>
        <w:t>comprende</w:t>
      </w:r>
      <w:r>
        <w:t xml:space="preserve"> ese </w:t>
      </w:r>
      <w:r>
        <w:t xml:space="preserve">lenguaje. </w:t>
      </w:r>
      <w:r>
        <w:t>Cf.</w:t>
      </w:r>
      <w:r>
        <w:t xml:space="preserve"> </w:t>
      </w:r>
      <w:r w:rsidRPr="001377A8" w:rsidR="00BB4527">
        <w:t xml:space="preserve">James L. McClelland</w:t>
      </w:r>
      <w:r w:rsidR="00BB4527">
        <w:t xml:space="preserve">, </w:t>
      </w:r>
      <w:r w:rsidRPr="001377A8" w:rsidR="00BB4527">
        <w:t xml:space="preserve">Felix Hill</w:t>
      </w:r>
      <w:r w:rsidR="00BB4527">
        <w:t xml:space="preserve">, </w:t>
      </w:r>
      <w:r w:rsidRPr="001377A8" w:rsidR="00BB4527">
        <w:t xml:space="preserve">Maja Rudolph</w:t>
      </w:r>
      <w:r w:rsidR="00BB4527">
        <w:t xml:space="preserve">, </w:t>
      </w:r>
      <w:r w:rsidRPr="001377A8" w:rsidR="00BB4527">
        <w:t xml:space="preserve">Jason </w:t>
      </w:r>
      <w:r w:rsidRPr="001377A8" w:rsidR="00BB4527">
        <w:t xml:space="preserve">Baldridge</w:t>
      </w:r>
      <w:r w:rsidR="00BB4527">
        <w:t xml:space="preserve">, </w:t>
      </w:r>
      <w:r w:rsidRPr="001377A8" w:rsidR="00BB4527">
        <w:t xml:space="preserve">Hinrich Schütze</w:t>
      </w:r>
      <w:r w:rsidR="00BB4527">
        <w:t xml:space="preserve">, </w:t>
      </w:r>
      <w:r>
        <w:t>Extending</w:t>
      </w:r>
      <w:r>
        <w:t xml:space="preserve"> Machine Language Models toward Human-Level Language </w:t>
      </w:r>
      <w:r>
        <w:t>Understanding</w:t>
      </w:r>
      <w:r>
        <w:t>, arXiv:1912.05877v2 [cs.CL]</w:t>
      </w:r>
    </w:p>
    <w:p w:rsidRPr="00334DF3" w:rsidR="00334DF3" w:rsidP="00BB4527" w:rsidRDefault="00BB4527" w14:paraId="6095FBD3" w14:textId="25E0D796">
      <w:pPr>
        <w:pStyle w:val="FootnoteText"/>
      </w:pPr>
      <w:r>
        <w:t xml:space="preserve">https://doi.org/10.48550/arXiv.1912.05877 (v2, 4 de julio de 2020).</w:t>
      </w:r>
    </w:p>
  </w:footnote>
  <w:footnote w:id="101">
    <w:p w:rsidR="00FD4C1A" w:rsidRDefault="00FD4C1A" w14:paraId="48F3AA47" w14:textId="747D8339">
      <w:pPr>
        <w:pStyle w:val="FootnoteText"/>
      </w:pPr>
      <w:r>
        <w:rPr>
          <w:rStyle w:val="FootnoteReference"/>
        </w:rPr>
        <w:footnoteRef/>
      </w:r>
      <w:r>
        <w:fldChar w:fldCharType="begin"/>
      </w:r>
      <w:r w:rsidR="00C04038">
        <w:instrText xml:space="preserve"> ADDIN ZOTERO_ITEM CSL_CITATION {"citationID":"7tpAR0Dm","properties":{"formattedCitation":"S.G. Shiva, {\\i{}Computer Hardware Description Languages\\uc0\\u8212{}A Tutorial}, 67 {\\scaps Proc. IEEE} 1605 (1979); D.M. Goldschlag, {\\i{}A Formal Model of Several Fundamental VHDL Concepts}, {\\i{}in} {\\scaps Proceedings of COMPASS\\uc0\\u8217{}94 - 1994 IEEE 9th Annual Conference on Computer Assurance} 177 (1994), http://ieeexplore.ieee.org/document/318454/.","plainCitation":"S.G. Shiva, Computer Hardware Description Languages—A Tutorial, 67 Proc. IEEE 1605 (1979); D.M. Goldschlag, A Formal Model of Several Fundamental VHDL Concepts, in Proceedings of COMPASS’94 - 1994 IEEE 9th Annual Conference on Computer Assurance 177 (1994), http://ieeexplore.ieee.org/document/318454/.","noteIndex":43},"citationItems":[{"id":147,"uris":["http://zotero.org/users/20142566/items/M2MFYWYP"],"itemData":{"id":147,"type":"article-journal","container-title":"Proceedings of the IEEE","DOI":"10.1109/PROC.1979.11541","ISSN":"0018-9219","issue":"12","journalAbbreviation":"Proc. IEEE","license":"https://ieeexplore.ieee.org/Xplorehelp/downloads/license-information/IEEE.html","page":"1605-1615","source":"DOI.org (Crossref)","title":"Computer hardware description languages—A tutorial","volume":"67","author":[{"family":"Shiva","given":"S.G."}],"issued":{"date-parts":[["1979"]]}}},{"id":149,"uris":["http://zotero.org/users/20142566/items/324EMPHH"],"itemData":{"id":149,"type":"paper-conference","abstract":"This paper presents a formal model of several fundamental concepts in VHDL including the semantics of individual concurrent statements, and groups of those statements, resolution functions, delta delays, and hierarchical component structuring. Based on this model, several extensions to VHDL are proposed, including nondeterministic assignments and unbounded asynchrony. Nondeterminism allows the speci cation of environments and of classes of devices. This model naturally captures the meaning of composition of VHDL programs.","container-title":"Proceedings of COMPASS'94 - 1994 IEEE 9th Annual Conference on Computer Assurance","DOI":"10.1109/CMPASS.1994.318454","event-title":"COMPASS'94 - 1994 IEEE 9th Annual Conference on Computer Assurance","ISBN":"978-0-7803-1855-7","language":"en","page":"177-181","publisher":"IEEE","publisher-place":"Gaithersburg, MD, USA","source":"DOI.org (Crossref)","title":"A Formal Model of Several Fundamental VHDL Concepts","URL":"http://ieeexplore.ieee.org/document/318454/","author":[{"family":"Goldschlag","given":"D.M."}],"accessed":{"date-parts":[["2026",4,13]]},"issued":{"date-parts":[["1994"]]}}}],"schema":"https://github.com/citation-style-language/schema/raw/master/csl-citation.json"} </w:instrText>
      </w:r>
      <w:r>
        <w:fldChar w:fldCharType="separate"/>
      </w:r>
      <w:r w:rsidRPr="00FD4C1A">
        <w:rPr>
          <w:rFonts w:cs="Times New Roman"/>
          <w:kern w:val="0"/>
          <w:lang w:bidi="yi-Hebr"/>
        </w:rPr>
        <w:t xml:space="preserve"> S.G. Shiva, </w:t>
      </w:r>
      <w:r>
        <w:t>Computer Hardware Description Languages—A Tutorial</w:t>
      </w:r>
      <w:r>
        <w:rPr>
          <w:rFonts w:cs="Times New Roman"/>
          <w:kern w:val="0"/>
          <w:lang w:bidi="yi-Hebr"/>
        </w:rPr>
        <w:t>, 67</w:t>
      </w:r>
      <w:r>
        <w:t xml:space="preserve"> </w:t>
      </w:r>
      <w:r>
        <w:rPr>
          <w:rFonts w:cs="Times New Roman"/>
          <w:smallCaps/>
          <w:kern w:val="0"/>
          <w:lang w:bidi="yi-Hebr"/>
        </w:rPr>
        <w:t>Proc. IEEE</w:t>
      </w:r>
      <w:r w:rsidRPr="00FD4C1A">
        <w:rPr>
          <w:rFonts w:cs="Times New Roman"/>
          <w:kern w:val="0"/>
          <w:lang w:bidi="yi-Hebr"/>
        </w:rPr>
        <w:t xml:space="preserve"> 1605 (1979); D.M. </w:t>
      </w:r>
      <w:r w:rsidRPr="00FD4C1A">
        <w:rPr>
          <w:rFonts w:cs="Times New Roman"/>
          <w:kern w:val="0"/>
          <w:lang w:bidi="yi-Hebr"/>
        </w:rPr>
        <w:t xml:space="preserve">Goldschlag</w:t>
      </w:r>
      <w:r>
        <w:rPr>
          <w:rFonts w:cs="Times New Roman"/>
          <w:kern w:val="0"/>
          <w:lang w:bidi="yi-Hebr"/>
        </w:rPr>
        <w:t>,</w:t>
      </w:r>
      <w:r>
        <w:rPr>
          <w:rFonts w:cs="Times New Roman"/>
          <w:i/>
          <w:iCs/>
          <w:kern w:val="0"/>
          <w:lang w:bidi="yi-Hebr"/>
        </w:rPr>
        <w:t xml:space="preserve"> </w:t>
      </w:r>
      <w:r>
        <w:t>A Formal Model of Several Fundamental VHDL Concepts</w:t>
      </w:r>
      <w:r>
        <w:rPr>
          <w:rFonts w:cs="Times New Roman"/>
          <w:i/>
          <w:iCs/>
          <w:kern w:val="0"/>
          <w:lang w:bidi="yi-Hebr"/>
        </w:rPr>
        <w:t xml:space="preserve">, en </w:t>
      </w:r>
      <w:r>
        <w:t>Proceedings of</w:t>
      </w:r>
      <w:r>
        <w:rPr>
          <w:rFonts w:cs="Times New Roman"/>
          <w:smallCaps/>
          <w:kern w:val="0"/>
          <w:lang w:bidi="yi-Hebr"/>
        </w:rPr>
        <w:t xml:space="preserve"> COMPASS’94 — </w:t>
      </w:r>
      <w:r>
        <w:t>1994 IEEE 9th Annual Conference on Computer Assurance</w:t>
      </w:r>
      <w:r>
        <w:rPr>
          <w:rFonts w:cs="Times New Roman"/>
          <w:kern w:val="0"/>
          <w:lang w:bidi="yi-Hebr"/>
        </w:rPr>
        <w:t xml:space="preserve"> 177 (1994), http://ieeexplore.ieee.org/document/318454/.</w:t>
      </w:r>
      <w:r>
        <w:fldChar w:fldCharType="end"/>
      </w:r>
    </w:p>
  </w:footnote>
  <w:footnote w:id="102">
    <w:p w:rsidRPr="00757F44" w:rsidR="00757F44" w:rsidRDefault="00757F44" w14:paraId="7AD80143" w14:textId="1866FA41">
      <w:pPr>
        <w:pStyle w:val="FootnoteText"/>
      </w:pPr>
      <w:r>
        <w:rPr>
          <w:rStyle w:val="FootnoteReference"/>
        </w:rPr>
        <w:footnoteRef/>
      </w:r>
      <w:r>
        <w:t xml:space="preserve"> </w:t>
      </w:r>
      <w:r>
        <w:t xml:space="preserve">Friedrich Kittler, </w:t>
      </w:r>
      <w:r>
        <w:t>There Is No Software</w:t>
      </w:r>
      <w:r>
        <w:t xml:space="preserve">, </w:t>
      </w:r>
      <w:r w:rsidRPr="00757F44">
        <w:rPr>
          <w:smallCaps/>
        </w:rPr>
        <w:t xml:space="preserve">CTheory </w:t>
      </w:r>
      <w:r>
        <w:t xml:space="preserve">(18 de octubre de 1995),</w:t>
      </w:r>
      <w:hyperlink w:history="1" r:id="rId4">
        <w:r>
          <w:rPr>
            <w:rStyle w:val="Hyperlink"/>
          </w:rPr>
          <w:t xml:space="preserve"> http://www.ctheory.net/articles.aspx?id=74</w:t>
        </w:r>
      </w:hyperlink>
      <w:r>
        <w:t xml:space="preserve">.</w:t>
      </w:r>
    </w:p>
  </w:footnote>
  <w:footnote w:id="103">
    <w:p w:rsidRPr="00757F44" w:rsidR="00757F44" w:rsidRDefault="00757F44" w14:paraId="60075AF5" w14:textId="4C26DE99">
      <w:pPr>
        <w:pStyle w:val="FootnoteText"/>
      </w:pPr>
      <w:r>
        <w:rPr>
          <w:rStyle w:val="FootnoteReference"/>
        </w:rPr>
        <w:footnoteRef/>
      </w:r>
      <w:r>
        <w:t xml:space="preserve"> </w:t>
      </w:r>
      <w:r>
        <w:rPr>
          <w:smallCaps/>
        </w:rPr>
        <w:t xml:space="preserve">Lawrence Lessig, </w:t>
      </w:r>
      <w:r>
        <w:t>Code</w:t>
      </w:r>
      <w:r>
        <w:rPr>
          <w:smallCaps/>
        </w:rPr>
        <w:t xml:space="preserve">: And Other Laws of </w:t>
      </w:r>
      <w:r>
        <w:t>Cyberspace</w:t>
      </w:r>
      <w:r>
        <w:rPr>
          <w:smallCaps/>
        </w:rPr>
        <w:t xml:space="preserve">, </w:t>
      </w:r>
      <w:r>
        <w:t>Version</w:t>
      </w:r>
      <w:r>
        <w:rPr>
          <w:smallCaps/>
        </w:rPr>
        <w:t xml:space="preserve"> 2.0</w:t>
      </w:r>
      <w:r>
        <w:t>,</w:t>
      </w:r>
      <w:r>
        <w:t xml:space="preserve"> 5–6 (2006)</w:t>
      </w:r>
      <w:r>
        <w:t xml:space="preserve">; </w:t>
      </w:r>
      <w:r>
        <w:t xml:space="preserve">Langdon Winner, </w:t>
      </w:r>
      <w:r>
        <w:t>Do Artifacts Have Politics?,</w:t>
      </w:r>
      <w:r>
        <w:t xml:space="preserve"> 109 </w:t>
      </w:r>
      <w:r w:rsidRPr="00757F44">
        <w:rPr>
          <w:smallCaps/>
        </w:rPr>
        <w:t xml:space="preserve">Daedalus</w:t>
      </w:r>
      <w:r>
        <w:t xml:space="preserve"> 121, </w:t>
      </w:r>
      <w:r>
        <w:t>121–22, 127–31 (1980</w:t>
      </w:r>
      <w:r>
        <w:t xml:space="preserve">). </w:t>
      </w:r>
      <w:r>
        <w:t xml:space="preserve">Lessig y Winner proporcionan </w:t>
      </w:r>
      <w:r>
        <w:t>el fundamento teórico</w:t>
      </w:r>
      <w:r>
        <w:t xml:space="preserve"> para tratar la arquitectura tecnológica como un arreglo regulatorio. Las fuentes de ingeniería establecen que la arquitectura se diseña e implementa mediante decisiones humanas. </w:t>
      </w:r>
      <w:r>
        <w:t xml:space="preserve">Sugerimos </w:t>
      </w:r>
      <w:r>
        <w:t>la inferencia de</w:t>
      </w:r>
      <w:r>
        <w:t xml:space="preserve"> que esas decisiones constituyen una forma de legislación previa.</w:t>
      </w:r>
    </w:p>
  </w:footnote>
  <w:footnote w:id="104">
    <w:p w:rsidRPr="00757F44" w:rsidR="00757F44" w:rsidRDefault="00757F44" w14:paraId="5CBCB249" w14:textId="4CA4E5AD">
      <w:pPr>
        <w:pStyle w:val="FootnoteText"/>
      </w:pPr>
      <w:r>
        <w:rPr>
          <w:rStyle w:val="FootnoteReference"/>
        </w:rPr>
        <w:footnoteRef/>
      </w:r>
      <w:r>
        <w:t xml:space="preserve"> Véase, por ejemplo, </w:t>
      </w:r>
      <w:r>
        <w:t xml:space="preserve">AMD, </w:t>
      </w:r>
      <w:r>
        <w:t xml:space="preserve">Guía del usuario </w:t>
      </w:r>
      <w:r>
        <w:t xml:space="preserve">de Vivado </w:t>
      </w:r>
      <w:r>
        <w:t xml:space="preserve">Design Suite: Síntesis, UG901, cap. 1 (2024.2).</w:t>
      </w:r>
    </w:p>
  </w:footnote>
  <w:footnote w:id="105">
    <w:p w:rsidRPr="00757F44" w:rsidR="00757F44" w:rsidRDefault="00757F44" w14:paraId="7CADE8F5" w14:textId="3F4637D1">
      <w:pPr>
        <w:pStyle w:val="FootnoteText"/>
      </w:pPr>
      <w:r>
        <w:rPr>
          <w:rStyle w:val="FootnoteReference"/>
        </w:rPr>
        <w:footnoteRef/>
      </w:r>
      <w:r>
        <w:t xml:space="preserve"> Cf</w:t>
      </w:r>
      <w:r>
        <w:t>.</w:t>
      </w:r>
      <w:r>
        <w:t xml:space="preserve"> </w:t>
      </w:r>
      <w:r w:rsidRPr="00757F44">
        <w:t xml:space="preserve">Langdon Winner, </w:t>
      </w:r>
      <w:r>
        <w:t>Do Artifacts Have Politics?,</w:t>
      </w:r>
      <w:r w:rsidRPr="00757F44">
        <w:t xml:space="preserve"> 109 </w:t>
      </w:r>
      <w:r w:rsidRPr="00757F44">
        <w:rPr>
          <w:smallCaps/>
        </w:rPr>
        <w:t xml:space="preserve">Daedalus</w:t>
      </w:r>
      <w:r w:rsidRPr="00757F44">
        <w:t xml:space="preserve"> 121, 121–22, 127–31 (1980) </w:t>
      </w:r>
      <w:r>
        <w:t xml:space="preserve">(</w:t>
      </w:r>
      <w:r>
        <w:t xml:space="preserve">los </w:t>
      </w:r>
      <w:r>
        <w:t>arreglos</w:t>
      </w:r>
      <w:r>
        <w:t xml:space="preserve"> tecnológicos pueden encarnar formas particulares de poder y </w:t>
      </w:r>
      <w:r>
        <w:t xml:space="preserve">de </w:t>
      </w:r>
      <w:r>
        <w:t xml:space="preserve">autoridad a través de su diseño, </w:t>
      </w:r>
      <w:r>
        <w:t>con independencia</w:t>
      </w:r>
      <w:r>
        <w:t xml:space="preserve"> de los fines </w:t>
      </w:r>
      <w:r>
        <w:t>a</w:t>
      </w:r>
      <w:r>
        <w:t xml:space="preserve"> los que se </w:t>
      </w:r>
      <w:r>
        <w:t>destinen después</w:t>
      </w:r>
      <w:r>
        <w:t xml:space="preserve">).</w:t>
      </w:r>
    </w:p>
  </w:footnote>
  <w:footnote w:id="106">
    <w:p w:rsidR="00AC1FCB" w:rsidRDefault="00AC1FCB" w14:paraId="1D76892F" w14:textId="7278048E">
      <w:pPr>
        <w:pStyle w:val="FootnoteText"/>
      </w:pPr>
      <w:r>
        <w:rPr>
          <w:rStyle w:val="FootnoteReference"/>
        </w:rPr>
        <w:footnoteRef/>
      </w:r>
      <w:r>
        <w:fldChar w:fldCharType="begin"/>
      </w:r>
      <w:r>
        <w:instrText xml:space="preserve"> ADDIN ZOTERO_ITEM CSL_CITATION {"citationID":"nwM9ZtzU","properties":{"formattedCitation":"Joel R Reidenberg, {\\i{}Lex Informatica: The Formulation of Information Policy Rules through Technology}, 76 {\\scaps Tex. Law Rev.} (1997), http://ir.lawnet.fordham.edu/faculty_scholarship/42.","plainCitation":"Joel R Reidenberg, Lex Informatica: The Formulation of Information Policy Rules through Technology, 76 Tex. Law Rev. (1997), http://ir.lawnet.fordham.edu/faculty_scholarship/42.","noteIndex":46},"citationItems":[{"id":4,"uris":["http://zotero.org/users/20142566/items/JEP8W32I"],"itemData":{"id":4,"type":"article-journal","abstract":"During the middle ages, itinerant merchants traveling across Europe to trade at fairs, markets, and sea ports needed common ground rules to create trust and confidence for robust international trade. The differences among local, feudal, royal, and ecclesiastical law provided a significant degree of uncertainty and difficulty for merchants. Custom and practices evolved into a distinct body of law known as the 'Lex Mercatoria,' which was independent of local sovereign rules and assured commercial participants of basic fairness in their relationships. In the era of network and communications technologies, participants traveling on information infrastructures confront an unstable and uncertain environment of multiple governing laws, changing national rules, and conflicting regulations. For the information infrastructure, default ground rules are just as essential for participants in the Information Society as Lex Mercatoria was to merchants hundreds of years ago. Principles governing the treatment of digital information must offer stability and predictability so that participants have enough confidence for their communities to thrive, just as settled trading rules gave confidence and vitality to merchant communities. At present, three substantive legal policy areas are in a critical state of flux in the network environment. The treatment of content, the treatment of personal information, and the preservation of ownership rights each presents conflicting policies within nations and shows a lack of harmonization across national borders. In addition, serious jurisdictional obstacles confront the enforcement of any substantive legal rights in the network environment. But just as clear accounting rules reassured participants in twentieth century financial markets, ground rules for the access, distribution, and use of information will shape the trust, confidence, and fairness in the twenty-first century digital world for citizens, businesses, and governments. Historically, law and government regulation have established default rules for information policy, including constitutional rules on freedom of expression and statutory rights of ownership of information. This Article will show that for network environments and the Information Society, however, law and government regulation are not the only source of rule-making. Technological capabilities and system design choices impose rules on participants. The creation and implementation of information policy","container-title":"Texas Law Review","language":"en","publisher":"Texas Law Review","source":"Zotero","title":"Lex Informatica: The Formulation of Information Policy Rules through Technology","URL":"http://ir.lawnet.fordham.edu/faculty_scholarship/42","volume":"76","author":[{"family":"Reidenberg","given":"Joel R"}],"issued":{"date-parts":[["1997"]]}}}],"schema":"https://github.com/citation-style-language/schema/raw/master/csl-citation.json"} </w:instrText>
      </w:r>
      <w:r>
        <w:fldChar w:fldCharType="separate"/>
      </w:r>
      <w:r w:rsidRPr="00AC1FCB">
        <w:rPr>
          <w:rFonts w:cs="Times New Roman"/>
          <w:kern w:val="0"/>
        </w:rPr>
        <w:t xml:space="preserve"> Joel R. Reidenberg, </w:t>
      </w:r>
      <w:r>
        <w:t>Lex</w:t>
      </w:r>
      <w:r>
        <w:rPr>
          <w:rFonts w:cs="Times New Roman"/>
          <w:i/>
          <w:iCs/>
          <w:kern w:val="0"/>
        </w:rPr>
        <w:t xml:space="preserve"> Informatica: The Formulation of Information Policy Rules through </w:t>
      </w:r>
      <w:r>
        <w:t>Technology</w:t>
      </w:r>
      <w:r>
        <w:rPr>
          <w:rFonts w:cs="Times New Roman"/>
          <w:kern w:val="0"/>
        </w:rPr>
        <w:t>, 76</w:t>
      </w:r>
      <w:r>
        <w:t xml:space="preserve"> Tex. L. Rev.</w:t>
      </w:r>
      <w:r>
        <w:rPr>
          <w:rFonts w:cs="Times New Roman"/>
          <w:kern w:val="0"/>
        </w:rPr>
        <w:t xml:space="preserve"> </w:t>
      </w:r>
      <w:r w:rsidRPr="00AC1FCB">
        <w:rPr>
          <w:rFonts w:cs="Times New Roman"/>
          <w:kern w:val="0"/>
        </w:rPr>
        <w:t xml:space="preserve">(1997), http://ir.lawnet.fordham.edu/faculty_scholarship/42.</w:t>
      </w:r>
      <w:r>
        <w:fldChar w:fldCharType="end"/>
      </w:r>
    </w:p>
  </w:footnote>
  <w:footnote w:id="107">
    <w:p w:rsidRPr="00FB5C64" w:rsidR="00FB5C64" w:rsidP="001377A8" w:rsidRDefault="00FB5C64" w14:paraId="5675CF6D" w14:textId="68266D40">
      <w:pPr>
        <w:pStyle w:val="FootnoteText"/>
      </w:pPr>
      <w:r>
        <w:rPr>
          <w:rStyle w:val="FootnoteReference"/>
        </w:rPr>
        <w:footnoteRef/>
      </w:r>
      <w:r>
        <w:t xml:space="preserve"> </w:t>
      </w:r>
      <w:r>
        <w:t>Cf.</w:t>
      </w:r>
      <w:r>
        <w:t xml:space="preserve"> </w:t>
      </w:r>
      <w:r>
        <w:rPr>
          <w:smallCaps/>
        </w:rPr>
        <w:t xml:space="preserve">Adrian Mackenzie, </w:t>
      </w:r>
      <w:r>
        <w:t>Transductions</w:t>
      </w:r>
      <w:r>
        <w:rPr>
          <w:smallCaps/>
        </w:rPr>
        <w:t xml:space="preserve">: Bodies and Machines at </w:t>
      </w:r>
      <w:r>
        <w:t>Speed</w:t>
      </w:r>
      <w:r>
        <w:rPr>
          <w:smallCaps/>
        </w:rPr>
        <w:t xml:space="preserve"> </w:t>
      </w:r>
      <w:r w:rsidR="001377A8">
        <w:t xml:space="preserve">(2002)</w:t>
      </w:r>
      <w:r w:rsidR="001377A8">
        <w:t xml:space="preserve">; </w:t>
      </w:r>
      <w:r>
        <w:rPr>
          <w:smallCaps/>
        </w:rPr>
        <w:t xml:space="preserve">Adrian Mackenzie, </w:t>
      </w:r>
      <w:r>
        <w:t>Cutting</w:t>
      </w:r>
      <w:r>
        <w:rPr>
          <w:smallCaps/>
        </w:rPr>
        <w:t xml:space="preserve"> Code: Software and </w:t>
      </w:r>
      <w:r>
        <w:t>Sociality</w:t>
      </w:r>
      <w:r>
        <w:rPr>
          <w:smallCaps/>
        </w:rPr>
        <w:t xml:space="preserve"> </w:t>
      </w:r>
      <w:r w:rsidR="001377A8">
        <w:t xml:space="preserve">(2006).</w:t>
      </w:r>
    </w:p>
  </w:footnote>
  <w:footnote w:id="108">
    <w:p w:rsidRPr="00FB5C64" w:rsidR="00FB5C64" w:rsidP="00FB5C64" w:rsidRDefault="00FB5C64" w14:paraId="5E670322" w14:textId="2816CC68">
      <w:pPr>
        <w:pStyle w:val="FootnoteText"/>
      </w:pPr>
      <w:r>
        <w:rPr>
          <w:rStyle w:val="FootnoteReference"/>
        </w:rPr>
        <w:footnoteRef/>
      </w:r>
      <w:r>
        <w:t xml:space="preserve"> </w:t>
      </w:r>
      <w:r>
        <w:t>Considerado</w:t>
      </w:r>
      <w:r>
        <w:t xml:space="preserve"> en </w:t>
      </w:r>
      <w:r>
        <w:t xml:space="preserve">Jeannette M. Wing, </w:t>
      </w:r>
      <w:r>
        <w:t>Computational</w:t>
      </w:r>
      <w:r>
        <w:rPr>
          <w:i/>
          <w:iCs/>
        </w:rPr>
        <w:t xml:space="preserve"> Thinking and Thinking About </w:t>
      </w:r>
      <w:r>
        <w:t>Computing</w:t>
      </w:r>
      <w:r>
        <w:t xml:space="preserve">, 366 </w:t>
      </w:r>
      <w:r>
        <w:t>(1881</w:t>
      </w:r>
      <w:r>
        <w:t>)</w:t>
      </w:r>
      <w:r>
        <w:t xml:space="preserve"> </w:t>
      </w:r>
      <w:r w:rsidRPr="00BD3471">
        <w:rPr>
          <w:smallCaps/>
        </w:rPr>
        <w:t xml:space="preserve">Phil. Transactions Royal Soc’y A</w:t>
      </w:r>
      <w:r>
        <w:t xml:space="preserve"> 3717 (2008)</w:t>
      </w:r>
      <w:r>
        <w:t xml:space="preserve">; </w:t>
      </w:r>
      <w:r>
        <w:t xml:space="preserve">Luciano Floridi, </w:t>
      </w:r>
      <w:r>
        <w:t>The</w:t>
      </w:r>
      <w:r>
        <w:rPr>
          <w:i/>
          <w:iCs/>
        </w:rPr>
        <w:t xml:space="preserve"> Method of Levels of </w:t>
      </w:r>
      <w:r>
        <w:t>Abstraction</w:t>
      </w:r>
      <w:r>
        <w:t xml:space="preserve">, 18 </w:t>
      </w:r>
      <w:r w:rsidRPr="00BD3471">
        <w:rPr>
          <w:smallCaps/>
        </w:rPr>
        <w:t xml:space="preserve">Minds &amp; </w:t>
      </w:r>
      <w:r>
        <w:t>Machs.</w:t>
      </w:r>
      <w:r>
        <w:t xml:space="preserve"> 303 (2008)</w:t>
      </w:r>
      <w:r>
        <w:t xml:space="preserve">; y </w:t>
      </w:r>
      <w:r>
        <w:t xml:space="preserve">Alexander R. Galloway, </w:t>
      </w:r>
      <w:r>
        <w:t>Protocol</w:t>
      </w:r>
      <w:r>
        <w:rPr>
          <w:i/>
          <w:iCs/>
        </w:rPr>
        <w:t xml:space="preserve">: How Control Exists After </w:t>
      </w:r>
      <w:r>
        <w:t>Decentralization</w:t>
      </w:r>
      <w:r>
        <w:rPr>
          <w:i/>
          <w:iCs/>
        </w:rPr>
        <w:t xml:space="preserve"> </w:t>
      </w:r>
      <w:r>
        <w:t xml:space="preserve">(2004</w:t>
      </w:r>
      <w:r>
        <w:t xml:space="preserve">).</w:t>
      </w:r>
    </w:p>
  </w:footnote>
  <w:footnote w:id="109">
    <w:p w:rsidRPr="00FB5C64" w:rsidR="00FB5C64" w:rsidP="00FB5C64" w:rsidRDefault="00FB5C64" w14:paraId="21506275" w14:textId="00F45A23">
      <w:pPr>
        <w:pStyle w:val="FootnoteText"/>
      </w:pPr>
      <w:r>
        <w:rPr>
          <w:rStyle w:val="FootnoteReference"/>
        </w:rPr>
        <w:footnoteRef/>
      </w:r>
      <w:r>
        <w:t xml:space="preserve"> Véase, por ejemplo, </w:t>
      </w:r>
      <w:r>
        <w:rPr>
          <w:smallCaps/>
        </w:rPr>
        <w:t xml:space="preserve">Wolfgang Ernst, </w:t>
      </w:r>
      <w:r>
        <w:t>Digital Memory and the Archive (Jussi</w:t>
      </w:r>
      <w:r>
        <w:t xml:space="preserve"> Parikka, </w:t>
      </w:r>
      <w:r>
        <w:t xml:space="preserve">ed., </w:t>
      </w:r>
      <w:r>
        <w:t>2013)</w:t>
      </w:r>
      <w:r>
        <w:t xml:space="preserve">; </w:t>
      </w:r>
      <w:r>
        <w:t xml:space="preserve">Wendy Hui Kyong Chun, </w:t>
      </w:r>
      <w:r>
        <w:t>Programmed Visions</w:t>
      </w:r>
      <w:r>
        <w:t xml:space="preserve">: </w:t>
      </w:r>
      <w:r>
        <w:t>Software and Memory</w:t>
      </w:r>
      <w:r>
        <w:t xml:space="preserve"> (2011)</w:t>
      </w:r>
      <w:r w:rsidR="001377A8">
        <w:t xml:space="preserve">; </w:t>
      </w:r>
      <w:r>
        <w:t xml:space="preserve">Wm. A. Wulf y Sally A. McKee</w:t>
      </w:r>
      <w:r>
        <w:rPr>
          <w:i/>
          <w:iCs/>
        </w:rPr>
        <w:t xml:space="preserve">, </w:t>
      </w:r>
      <w:r>
        <w:t>Hitting</w:t>
      </w:r>
      <w:r>
        <w:rPr>
          <w:i/>
          <w:iCs/>
        </w:rPr>
        <w:t xml:space="preserve"> the Memory Wall: Implications of the </w:t>
      </w:r>
      <w:r>
        <w:t>Obvious</w:t>
      </w:r>
      <w:r>
        <w:t xml:space="preserve">, 23 ACM SIGARCH </w:t>
      </w:r>
      <w:r w:rsidRPr="00BD3471">
        <w:rPr>
          <w:smallCaps/>
        </w:rPr>
        <w:t xml:space="preserve">Comput</w:t>
      </w:r>
      <w:r w:rsidRPr="00BD3471">
        <w:rPr>
          <w:smallCaps/>
        </w:rPr>
        <w:t xml:space="preserve">. Architecture News</w:t>
      </w:r>
      <w:r>
        <w:t xml:space="preserve">, n.º 1, 1995, p. 20</w:t>
      </w:r>
      <w:r w:rsidR="001377A8">
        <w:t xml:space="preserve">.</w:t>
      </w:r>
    </w:p>
  </w:footnote>
  <w:footnote w:id="110">
    <w:p w:rsidRPr="001377A8" w:rsidR="001377A8" w:rsidP="006E1987" w:rsidRDefault="001377A8" w14:paraId="53BD497A" w14:textId="10C0CB30">
      <w:pPr>
        <w:pStyle w:val="FootnoteText"/>
      </w:pPr>
      <w:r>
        <w:rPr>
          <w:rStyle w:val="FootnoteReference"/>
        </w:rPr>
        <w:footnoteRef/>
      </w:r>
      <w:r>
        <w:t xml:space="preserve"> </w:t>
      </w:r>
      <w:r>
        <w:t>Cf.</w:t>
      </w:r>
      <w:r>
        <w:t xml:space="preserve"> </w:t>
      </w:r>
      <w:r w:rsidRPr="006E1987" w:rsidR="006E1987">
        <w:rPr>
          <w:smallCaps/>
        </w:rPr>
        <w:t xml:space="preserve">John L. Hennessy</w:t>
      </w:r>
      <w:r w:rsidR="009B653F">
        <w:rPr>
          <w:smallCaps/>
        </w:rPr>
        <w:t xml:space="preserve">, </w:t>
      </w:r>
      <w:r w:rsidRPr="006E1987" w:rsidR="006E1987">
        <w:rPr>
          <w:smallCaps/>
        </w:rPr>
        <w:t xml:space="preserve">David A. Patterson </w:t>
      </w:r>
      <w:r w:rsidR="009B653F">
        <w:rPr>
          <w:smallCaps/>
        </w:rPr>
        <w:t xml:space="preserve">y </w:t>
      </w:r>
      <w:r w:rsidRPr="009B653F" w:rsidR="009B653F">
        <w:rPr>
          <w:smallCaps/>
        </w:rPr>
        <w:t xml:space="preserve">Christos </w:t>
      </w:r>
      <w:r w:rsidRPr="009B653F" w:rsidR="009B653F">
        <w:rPr>
          <w:smallCaps/>
        </w:rPr>
        <w:t xml:space="preserve">Kozyrakis</w:t>
      </w:r>
      <w:r>
        <w:rPr>
          <w:smallCaps/>
        </w:rPr>
        <w:t xml:space="preserve">, </w:t>
      </w:r>
      <w:r>
        <w:t>Computer</w:t>
      </w:r>
      <w:r>
        <w:rPr>
          <w:smallCaps/>
        </w:rPr>
        <w:t xml:space="preserve"> Architecture: A Quantitative </w:t>
      </w:r>
      <w:r>
        <w:t>Approach</w:t>
      </w:r>
      <w:r>
        <w:rPr>
          <w:smallCaps/>
        </w:rPr>
        <w:t xml:space="preserve"> </w:t>
      </w:r>
      <w:r w:rsidRPr="006E1987" w:rsidR="006E1987">
        <w:t xml:space="preserve">(</w:t>
      </w:r>
      <w:r w:rsidRPr="006E1987" w:rsidR="006E1987">
        <w:t xml:space="preserve">7.ª ed.,</w:t>
      </w:r>
      <w:r w:rsidR="009B653F">
        <w:t xml:space="preserve"> 2025</w:t>
      </w:r>
      <w:r w:rsidRPr="006E1987" w:rsidR="006E1987">
        <w:t xml:space="preserve">)</w:t>
      </w:r>
      <w:r w:rsidR="006E1987">
        <w:t xml:space="preserve">;</w:t>
      </w:r>
      <w:r w:rsidR="006E1987">
        <w:t xml:space="preserve"> </w:t>
      </w:r>
      <w:r>
        <w:rPr>
          <w:smallCaps/>
        </w:rPr>
        <w:t xml:space="preserve">Tung-Hui Hu, </w:t>
      </w:r>
      <w:r>
        <w:t>A Prehistory of the Cloud</w:t>
      </w:r>
      <w:r>
        <w:rPr>
          <w:smallCaps/>
        </w:rPr>
        <w:t xml:space="preserve"> </w:t>
      </w:r>
      <w:r w:rsidR="006E1987">
        <w:t xml:space="preserve">(2015)</w:t>
      </w:r>
      <w:r w:rsidR="006E1987">
        <w:t xml:space="preserve">; </w:t>
      </w:r>
      <w:r>
        <w:t>Signal Traffic</w:t>
      </w:r>
      <w:r>
        <w:rPr>
          <w:smallCaps/>
        </w:rPr>
        <w:t xml:space="preserve">: </w:t>
      </w:r>
      <w:r>
        <w:t>Critical Studies of Media Infrastructures</w:t>
      </w:r>
      <w:r>
        <w:rPr>
          <w:smallCaps/>
        </w:rPr>
        <w:t xml:space="preserve"> </w:t>
      </w:r>
      <w:r w:rsidR="006E1987">
        <w:t xml:space="preserve">(Lisa Parks y Nicole Starosielski, eds., 2015)</w:t>
      </w:r>
      <w:r>
        <w:t>; véase también</w:t>
      </w:r>
      <w:r>
        <w:t xml:space="preserve"> </w:t>
      </w:r>
      <w:r>
        <w:rPr>
          <w:smallCaps/>
        </w:rPr>
        <w:t xml:space="preserve">Wendy Hui Kyong Chun, </w:t>
      </w:r>
      <w:r>
        <w:t>Programmed Visions</w:t>
      </w:r>
      <w:r>
        <w:rPr>
          <w:smallCaps/>
        </w:rPr>
        <w:t xml:space="preserve">: Software </w:t>
      </w:r>
      <w:r>
        <w:t>and Memory</w:t>
      </w:r>
      <w:r>
        <w:rPr>
          <w:smallCaps/>
        </w:rPr>
        <w:t xml:space="preserve"> </w:t>
      </w:r>
      <w:r w:rsidRPr="00897E96" w:rsidR="00897E96">
        <w:t xml:space="preserve">(2011) </w:t>
      </w:r>
      <w:r w:rsidR="00897E96">
        <w:t xml:space="preserve">(</w:t>
      </w:r>
      <w:r>
        <w:t xml:space="preserve">sostiene que el código fuente se trata como </w:t>
      </w:r>
      <w:r>
        <w:t>aquello</w:t>
      </w:r>
      <w:r>
        <w:t xml:space="preserve"> que explica el software cuando </w:t>
      </w:r>
      <w:r>
        <w:t>no lo</w:t>
      </w:r>
      <w:r>
        <w:t xml:space="preserve"> es</w:t>
      </w:r>
      <w:r w:rsidR="00897E96">
        <w:t xml:space="preserve">).</w:t>
      </w:r>
    </w:p>
  </w:footnote>
  <w:footnote w:id="111">
    <w:p w:rsidRPr="00FB5C64" w:rsidR="00FB5C64" w:rsidRDefault="00FB5C64" w14:paraId="1522EBF0" w14:textId="5D2851D9">
      <w:pPr>
        <w:pStyle w:val="FootnoteText"/>
      </w:pPr>
      <w:r>
        <w:rPr>
          <w:rStyle w:val="FootnoteReference"/>
        </w:rPr>
        <w:footnoteRef/>
      </w:r>
      <w:r>
        <w:t xml:space="preserve"> Para </w:t>
      </w:r>
      <w:r>
        <w:t>una discusión académica</w:t>
      </w:r>
      <w:r>
        <w:t xml:space="preserve"> en torno a esta </w:t>
      </w:r>
      <w:r>
        <w:t>intuición</w:t>
      </w:r>
      <w:r>
        <w:t>, véase, por ejemplo,</w:t>
      </w:r>
      <w:r>
        <w:t xml:space="preserve"> </w:t>
      </w:r>
      <w:r w:rsidRPr="00BD3471">
        <w:rPr>
          <w:i/>
          <w:iCs/>
          <w:smallCaps/>
        </w:rPr>
        <w:t xml:space="preserve">Paul Dourish, </w:t>
      </w:r>
      <w:r>
        <w:t>The Stuff of Bits</w:t>
      </w:r>
      <w:r>
        <w:rPr>
          <w:rStyle w:val="Emphasis"/>
          <w:i w:val="0"/>
          <w:iCs w:val="0"/>
          <w:smallCaps/>
        </w:rPr>
        <w:t xml:space="preserve">: </w:t>
      </w:r>
      <w:r>
        <w:t>An Essay on the Materialities of Information</w:t>
      </w:r>
      <w:r>
        <w:rPr>
          <w:rStyle w:val="Emphasis"/>
          <w:i w:val="0"/>
          <w:iCs w:val="0"/>
          <w:smallCaps/>
        </w:rPr>
        <w:t xml:space="preserve"> </w:t>
      </w:r>
      <w:r>
        <w:t xml:space="preserve">(2017) </w:t>
      </w:r>
      <w:r>
        <w:t xml:space="preserve">(</w:t>
      </w:r>
      <w:r>
        <w:t xml:space="preserve">trata los protocolos, las representaciones y el hardware como restricciones materiales</w:t>
      </w:r>
      <w:r>
        <w:t xml:space="preserve">)</w:t>
      </w:r>
      <w:r>
        <w:t xml:space="preserve">.</w:t>
      </w:r>
      <w:r>
        <w:t xml:space="preserve"> Véase también</w:t>
      </w:r>
      <w:r>
        <w:t xml:space="preserve"> </w:t>
      </w:r>
      <w:r w:rsidRPr="00FB5C64">
        <w:t xml:space="preserve">Matthew G. Kirschenbaum, </w:t>
      </w:r>
      <w:r>
        <w:t>Mechanisms</w:t>
      </w:r>
      <w:r>
        <w:rPr>
          <w:i/>
          <w:iCs/>
        </w:rPr>
        <w:t xml:space="preserve">: New Media and the Forensic </w:t>
      </w:r>
      <w:r>
        <w:t>Imagination</w:t>
      </w:r>
      <w:r>
        <w:rPr>
          <w:i/>
          <w:iCs/>
        </w:rPr>
        <w:t xml:space="preserve"> </w:t>
      </w:r>
      <w:r w:rsidRPr="00FB5C64">
        <w:t xml:space="preserve">(2008</w:t>
      </w:r>
      <w:r>
        <w:t xml:space="preserve">) (</w:t>
      </w:r>
      <w:r>
        <w:t>distingue entre materialidad «forense» y «formal»</w:t>
      </w:r>
      <w:r>
        <w:t xml:space="preserve"> </w:t>
      </w:r>
      <w:r>
        <w:t>y sostiene</w:t>
      </w:r>
      <w:r>
        <w:t xml:space="preserve"> que la inscripción digital es física</w:t>
      </w:r>
      <w:r w:rsidRPr="00FB5C64">
        <w:t xml:space="preserve">)</w:t>
      </w:r>
      <w:r>
        <w:t xml:space="preserve">; </w:t>
      </w:r>
      <w:r w:rsidRPr="00FB5C64">
        <w:t xml:space="preserve">Jean-François Blanchette, </w:t>
      </w:r>
      <w:r>
        <w:t>A</w:t>
      </w:r>
      <w:r>
        <w:rPr>
          <w:i/>
          <w:iCs/>
        </w:rPr>
        <w:t xml:space="preserve"> Material History of </w:t>
      </w:r>
      <w:r>
        <w:t>Bits</w:t>
      </w:r>
      <w:r>
        <w:t>,</w:t>
      </w:r>
      <w:r w:rsidRPr="00BD3471">
        <w:rPr>
          <w:smallCaps/>
        </w:rPr>
        <w:t xml:space="preserve"> 62</w:t>
      </w:r>
      <w:r w:rsidR="00C91528">
        <w:rPr>
          <w:smallCaps/>
        </w:rPr>
        <w:t xml:space="preserve">(6) </w:t>
      </w:r>
      <w:r>
        <w:t>J</w:t>
      </w:r>
      <w:r>
        <w:rPr>
          <w:smallCaps/>
        </w:rPr>
        <w:t xml:space="preserve">. Am. Soc’y Info. Sci. &amp; </w:t>
      </w:r>
      <w:r>
        <w:t>Tech.</w:t>
      </w:r>
      <w:r w:rsidRPr="00FB5C64">
        <w:t xml:space="preserve"> 1042 (2011) </w:t>
      </w:r>
      <w:r>
        <w:t xml:space="preserve">(</w:t>
      </w:r>
      <w:r>
        <w:t xml:space="preserve">sostiene que la información depende de restricciones materiales y que las capas de abstracción no las eliminan</w:t>
      </w:r>
      <w:r>
        <w:t xml:space="preserve">). Para la </w:t>
      </w:r>
      <w:r>
        <w:t>tesis</w:t>
      </w:r>
      <w:r>
        <w:t xml:space="preserve"> clásica de que el software es, en última instancia, diferencias de voltaje en el hardware, cuyos artefactos pueden reformularse para el consumo humano, véase </w:t>
      </w:r>
      <w:r>
        <w:t xml:space="preserve">Friedrich A. Kittler, </w:t>
      </w:r>
      <w:r>
        <w:rPr>
          <w:rStyle w:val="Emphasis"/>
        </w:rPr>
        <w:t xml:space="preserve">There Is No Software</w:t>
      </w:r>
      <w:r>
        <w:t xml:space="preserve">, </w:t>
      </w:r>
      <w:r w:rsidRPr="00C91528">
        <w:rPr>
          <w:smallCaps/>
        </w:rPr>
        <w:t xml:space="preserve">CTheory </w:t>
      </w:r>
      <w:r w:rsidR="00C91528">
        <w:t xml:space="preserve">(18 de octubre de 1995), </w:t>
      </w:r>
      <w:hyperlink w:history="1" r:id="rId5">
        <w:r w:rsidR="00C91528">
          <w:rPr>
            <w:rStyle w:val="Hyperlink"/>
          </w:rPr>
          <w:t xml:space="preserve">http://www.ctheory.net/articles.aspx?id=74</w:t>
        </w:r>
      </w:hyperlink>
      <w:r w:rsidR="00C91528">
        <w:t xml:space="preserve">; </w:t>
      </w:r>
      <w:r>
        <w:t xml:space="preserve">y </w:t>
      </w:r>
      <w:r>
        <w:t xml:space="preserve">N. Katherine Hayles, </w:t>
      </w:r>
      <w:r>
        <w:t>How We Became Posthuman</w:t>
      </w:r>
      <w:r>
        <w:rPr>
          <w:rStyle w:val="Emphasis"/>
        </w:rPr>
        <w:t xml:space="preserve">: </w:t>
      </w:r>
      <w:r>
        <w:t>Virtual Bodies in Cybernetics</w:t>
      </w:r>
      <w:r>
        <w:rPr>
          <w:rStyle w:val="Emphasis"/>
        </w:rPr>
        <w:t xml:space="preserve">, </w:t>
      </w:r>
      <w:r>
        <w:t>Literature, and Informatics</w:t>
      </w:r>
      <w:r>
        <w:t xml:space="preserve"> </w:t>
      </w:r>
      <w:r>
        <w:t xml:space="preserve">(1999)</w:t>
      </w:r>
      <w:r>
        <w:t xml:space="preserve">.</w:t>
      </w:r>
    </w:p>
  </w:footnote>
  <w:footnote w:id="112">
    <w:p w:rsidR="000505C9" w:rsidRDefault="000505C9" w14:paraId="030735EC" w14:textId="42711364">
      <w:pPr>
        <w:pStyle w:val="FootnoteText"/>
      </w:pPr>
      <w:r>
        <w:rPr>
          <w:rStyle w:val="FootnoteReference"/>
        </w:rPr>
        <w:footnoteRef/>
      </w:r>
      <w:r>
        <w:fldChar w:fldCharType="begin"/>
      </w:r>
      <w:r w:rsidR="003F6FF0">
        <w:instrText xml:space="preserve"> ADDIN ZOTERO_ITEM CSL_CITATION {"citationID":"zqzaC0Kk","properties":{"formattedCitation":"{\\scaps Lessig}, {\\i{}supra} note 43.","plainCitation":"Lessig, supra note 43.","noteIndex":51},"citationItems":[{"id":15,"uris":["http://zotero.org/users/20142566/items/YVZPWECU"],"itemData":{"id":15,"type":"book","call-number":"343.099 44","edition":"2nd ed.","ISBN":"978-0-465-03914-2","language":"en","publisher":"Basic books","publisher-place":"New York","source":"BnF ISBN","title":"Code: Version 2.0","title-short":"Code","author":[{"family":"Lessig","given":"Lawrence"}],"issued":{"date-parts":[["2006"]]}}}],"schema":"https://github.com/citation-style-language/schema/raw/master/csl-citation.json"} </w:instrText>
      </w:r>
      <w:r>
        <w:fldChar w:fldCharType="separate"/>
      </w:r>
      <w:r w:rsidRPr="003F6FF0" w:rsidR="003F6FF0">
        <w:rPr>
          <w:rFonts w:cs="Times New Roman"/>
          <w:smallCaps/>
          <w:kern w:val="0"/>
        </w:rPr>
        <w:t xml:space="preserve"> Lessig</w:t>
      </w:r>
      <w:r>
        <w:rPr>
          <w:rFonts w:cs="Times New Roman"/>
          <w:i/>
          <w:iCs/>
          <w:kern w:val="0"/>
        </w:rPr>
        <w:t xml:space="preserve">, </w:t>
      </w:r>
      <w:r>
        <w:t>supra</w:t>
      </w:r>
      <w:r>
        <w:rPr>
          <w:rFonts w:cs="Times New Roman"/>
          <w:kern w:val="0"/>
        </w:rPr>
        <w:t xml:space="preserve"> </w:t>
      </w:r>
      <w:r>
        <w:rPr>
          <w:rFonts w:cs="Times New Roman"/>
          <w:kern w:val="0"/>
        </w:rPr>
        <w:t>nota 43</w:t>
      </w:r>
      <w:r>
        <w:t>.</w:t>
      </w:r>
      <w:r>
        <w:fldChar w:fldCharType="end"/>
      </w:r>
    </w:p>
  </w:footnote>
  <w:footnote w:id="113">
    <w:p w:rsidR="003D5A83" w:rsidRDefault="00000000" w14:paraId="7F33D4FC" w14:textId="77777777">
      <w:pPr>
        <w:pStyle w:val="FootnoteText"/>
      </w:pPr>
      <w:r>
        <w:rPr>
          <w:rStyle w:val="FootnoteReference"/>
        </w:rPr>
        <w:footnoteRef/>
      </w:r>
      <w:r>
        <w:t xml:space="preserve"> </w:t>
      </w:r>
      <w:r>
        <w:rPr>
          <w:i/>
          <w:iCs/>
        </w:rPr>
        <w:t xml:space="preserve">Véase, en general</w:t>
      </w:r>
      <w:r>
        <w:t xml:space="preserve">, Bin Cao et al., </w:t>
      </w:r>
      <w:r>
        <w:rPr>
          <w:i/>
          <w:iCs/>
        </w:rPr>
        <w:t xml:space="preserve">«Blockchain Systems, Technologies, and Applications: A Methodology Perspective</w:t>
      </w:r>
      <w:r>
        <w:t xml:space="preserve">», 25 </w:t>
      </w:r>
      <w:r>
        <w:rPr>
          <w:smallCaps/>
        </w:rPr>
        <w:t xml:space="preserve">IEEE Commun. </w:t>
      </w:r>
      <w:r>
        <w:rPr>
          <w:smallCaps/>
        </w:rPr>
        <w:t xml:space="preserve">Surv</w:t>
      </w:r>
      <w:r>
        <w:rPr>
          <w:smallCaps/>
        </w:rPr>
        <w:t xml:space="preserve">. Tutor.</w:t>
      </w:r>
      <w:r>
        <w:t xml:space="preserve"> 353 (2023). Las consecuencias en materia de gobernanza difieren en consecuencia. Un ataque mayoritario en una cadena de prueba de trabajo, un cártel de validadores en una cadena de prueba de participación y una pérdida de vitalidad en un sistema tolerante a fallas bizantinas son fallas diferentes, y cada una presenta un punto distinto en el que podría intervenir la regulación humana.</w:t>
      </w:r>
    </w:p>
  </w:footnote>
  <w:footnote w:id="114">
    <w:p w:rsidR="003D5A83" w:rsidRDefault="00000000" w14:paraId="027EC129" w14:textId="77777777">
      <w:pPr>
        <w:pStyle w:val="FootnoteText"/>
      </w:pPr>
      <w:r>
        <w:rPr>
          <w:rStyle w:val="FootnoteReference"/>
        </w:rPr>
        <w:footnoteRef/>
      </w:r>
      <w:r>
        <w:t xml:space="preserve"> Las firmas digitales que autorizan las transacciones en la mayoría de las cadenas principales se basan en la criptografía de curva elíptica, que </w:t>
      </w:r>
      <w:r>
        <w:t>una</w:t>
      </w:r>
      <w:r>
        <w:t xml:space="preserve"> computadora cuántica lo suficientemente grande que ejecute el algoritmo de Shor podría descifrar; las funciones hash que encadenan los bloques se ven debilitadas, aunque no descifradas, por el algoritmo de Grover. Peter W. Shor, </w:t>
      </w:r>
      <w:r>
        <w:rPr>
          <w:i/>
          <w:iCs/>
        </w:rPr>
        <w:t xml:space="preserve">«Polynomial-Time Algorithms for Prime Factorization and Discrete Logarithms on a Quantum Computer</w:t>
      </w:r>
      <w:r>
        <w:t xml:space="preserve">», 26 </w:t>
      </w:r>
      <w:r>
        <w:rPr>
          <w:smallCaps/>
        </w:rPr>
        <w:t xml:space="preserve">SIAM J. </w:t>
      </w:r>
      <w:r>
        <w:rPr>
          <w:smallCaps/>
        </w:rPr>
        <w:t xml:space="preserve">Comput</w:t>
      </w:r>
      <w:r>
        <w:rPr>
          <w:smallCaps/>
        </w:rPr>
        <w:t xml:space="preserve">.</w:t>
      </w:r>
      <w:r>
        <w:t xml:space="preserve"> 1484 (1997); Lov K. Grover, </w:t>
      </w:r>
      <w:r>
        <w:rPr>
          <w:i/>
          <w:iCs/>
        </w:rPr>
        <w:t xml:space="preserve">«A Fast Quantum Mechanical Algorithm for Database Search</w:t>
      </w:r>
      <w:r>
        <w:t xml:space="preserve">», </w:t>
      </w:r>
      <w:r>
        <w:rPr>
          <w:i/>
          <w:iCs/>
        </w:rPr>
        <w:t xml:space="preserve">en </w:t>
      </w:r>
      <w:r>
        <w:rPr>
          <w:smallCaps/>
        </w:rPr>
        <w:t xml:space="preserve">Actas del 28.º Simposio Anual de la ACM sobre Teoría de la Computación</w:t>
      </w:r>
      <w:r>
        <w:t xml:space="preserve">, 212 (1996). Una violación de los esquemas de firma amenazaría el control de los activos existentes y la autorización de nuevas transacciones de manera más directa que el historial registrado en sí mismo. El Instituto Nacional de Estándares y Tecnología de EE. UU. finalizó sus primeros estándares criptográficos poscuánticos en agosto de 2024. </w:t>
      </w:r>
      <w:r>
        <w:rPr>
          <w:i/>
          <w:iCs/>
        </w:rPr>
        <w:t xml:space="preserve">Véase </w:t>
      </w:r>
      <w:r>
        <w:t xml:space="preserve">Instituto </w:t>
      </w:r>
      <w:r>
        <w:t xml:space="preserve">Nacional </w:t>
      </w:r>
      <w:r>
        <w:t xml:space="preserve">de Estándares y Tecnología, FIPS 203, </w:t>
      </w:r>
      <w:r>
        <w:t>Module-Lattice-Based Key-Encapsulation Mechanism Standard</w:t>
      </w:r>
      <w:r>
        <w:t xml:space="preserve"> (2024); FIPS 204, </w:t>
      </w:r>
      <w:r>
        <w:t>Module-Lattice-Based Digital Signature Standard</w:t>
      </w:r>
      <w:r>
        <w:t xml:space="preserve"> (2024); FIPS 205, </w:t>
      </w:r>
      <w:r>
        <w:t>Stateless Hash-Based Digital Signature Standard</w:t>
      </w:r>
      <w:r>
        <w:t xml:space="preserve"> (2024). Lo relevante a los efectos del presente análisis es que la inalterabilidad del libro mayor es un logro contingente, no una propiedad ontológica, y que una migración a una nueva criptografía requeriría, en sí misma, precisamente el tipo de decisión humana coordinada descrita en el texto.</w:t>
      </w:r>
    </w:p>
  </w:footnote>
  <w:footnote w:id="115">
    <w:p w:rsidR="003D5A83" w:rsidRDefault="00000000" w14:paraId="53C4EDE0" w14:textId="77777777">
      <w:pPr>
        <w:pStyle w:val="FootnoteText"/>
      </w:pPr>
      <w:r>
        <w:rPr>
          <w:rStyle w:val="FootnoteReference"/>
        </w:rPr>
        <w:footnoteRef/>
      </w:r>
      <w:r>
        <w:t xml:space="preserve"> Vitalik Buterin, </w:t>
      </w:r>
      <w:r>
        <w:t>Hard</w:t>
      </w:r>
      <w:r>
        <w:rPr>
          <w:i/>
          <w:iCs/>
        </w:rPr>
        <w:t xml:space="preserve"> Fork Completed</w:t>
      </w:r>
      <w:r>
        <w:t xml:space="preserve">, </w:t>
      </w:r>
      <w:r>
        <w:rPr>
          <w:smallCaps/>
        </w:rPr>
        <w:t xml:space="preserve">Ethereum </w:t>
      </w:r>
      <w:r>
        <w:t>Found</w:t>
      </w:r>
      <w:r>
        <w:rPr>
          <w:smallCaps/>
        </w:rPr>
        <w:t xml:space="preserve">. Blog </w:t>
      </w:r>
      <w:r>
        <w:t xml:space="preserve">(20 de julio de 2016), https://blog.ethereum.org/2016/07/20/hard-fork-completed (bifurcación en el bloque 1 920 000 </w:t>
      </w:r>
      <w:r>
        <w:t>por la que</w:t>
      </w:r>
      <w:r>
        <w:t xml:space="preserve"> los fondos sustraídos </w:t>
      </w:r>
      <w:r>
        <w:t>de la</w:t>
      </w:r>
      <w:r>
        <w:t xml:space="preserve"> DAO</w:t>
      </w:r>
      <w:r>
        <w:t xml:space="preserve"> pasaron</w:t>
      </w:r>
      <w:r>
        <w:t xml:space="preserve"> a un contrato de recuperación). Sobre la bifurcación como </w:t>
      </w:r>
      <w:r>
        <w:t>modo</w:t>
      </w:r>
      <w:r>
        <w:t xml:space="preserve"> de resistencia dentro de los colectivos de blockchain, véase la Parte III.A, </w:t>
      </w:r>
      <w:r>
        <w:rPr>
          <w:i/>
          <w:iCs/>
        </w:rPr>
        <w:t xml:space="preserve">supra</w:t>
      </w:r>
      <w:r>
        <w:t xml:space="preserve">.</w:t>
      </w:r>
    </w:p>
  </w:footnote>
  <w:footnote w:id="116">
    <w:p w:rsidR="00837851" w:rsidRDefault="00837851" w14:paraId="4C0A9842" w14:textId="3E8D42A8">
      <w:pPr>
        <w:pStyle w:val="FootnoteText"/>
      </w:pPr>
      <w:r>
        <w:rPr>
          <w:rStyle w:val="FootnoteReference"/>
        </w:rPr>
        <w:footnoteRef/>
      </w:r>
      <w:r>
        <w:fldChar w:fldCharType="begin"/>
      </w:r>
      <w:r>
        <w:instrText xml:space="preserve"> ADDIN ZOTERO_ITEM CSL_CITATION {"citationID":"NLJ7xgCi","properties":{"formattedCitation":"Dennis Longley &amp; Michael Shain, {\\i{}Compilers, Interpreters and Assemblers}, {\\i{}in} {\\scaps Understanding Microcomputers} 107 (Dennis Longley &amp; Michael Shain eds., 1985), https://doi.org/10.1007/978-1-349-07553-9_9.","plainCitation":"Dennis Longley &amp; Michael Shain, Compilers, Interpreters and Assemblers, in Understanding Microcomputers 107 (Dennis Longley &amp; Michael Shain eds., 1985), https://doi.org/10.1007/978-1-349-07553-9_9.","noteIndex":53},"citationItems":[{"id":205,"uris":["http://zotero.org/users/20142566/items/RY2LT5L8"],"itemData":{"id":205,"type":"chapter","abstract":"When a computer performs a task it obeys a set of machine code instructions that are fed in sequence to the central processing unit. Each instruction represents a minuscule operation of the computer hardware. When a programmer describes the tasks to be performed by the machine he finds it more convenient to express the actions in terms of the desired results rather than the detailed machine operations (see Chapter 7). Thus the programmer states what overall operations are required whilst the computer demands extremely detailed step-by-step instructions. Fortunately computer programs have been written that accepts the programmer’s statements as input and produces the corresponding detailed machine code as output. These programs are known as translators and they come in three varieties: compilers, interpreters and assemblers.","container-title":"Understanding Microcomputers","DOI":"10.1007/978-1-349-07553-9_9","ISBN":"978-1-349-07553-9","language":"en","page":"107-114","publisher":"Palgrave Macmillan UK","publisher-place":"London","source":"Springer Link","title":"Compilers, Interpreters and Assemblers","URL":"https://doi.org/10.1007/978-1-349-07553-9_9","author":[{"family":"Longley","given":"Dennis"},{"family":"Shain","given":"Michael"}],"editor":[{"family":"Longley","given":"Dennis"},{"family":"Shain","given":"Michael"}],"accessed":{"date-parts":[["2026",4,13]]},"issued":{"date-parts":[["1985"]]}}}],"schema":"https://github.com/citation-style-language/schema/raw/master/csl-citation.json"} </w:instrText>
      </w:r>
      <w:r>
        <w:fldChar w:fldCharType="separate"/>
      </w:r>
      <w:r w:rsidRPr="00837851">
        <w:rPr>
          <w:rFonts w:cs="Times New Roman"/>
          <w:kern w:val="0"/>
        </w:rPr>
        <w:t xml:space="preserve"> Dennis Longley y Michael Shain, </w:t>
      </w:r>
      <w:r>
        <w:t>Compilers</w:t>
      </w:r>
      <w:r>
        <w:rPr>
          <w:rFonts w:cs="Times New Roman"/>
          <w:i/>
          <w:iCs/>
          <w:kern w:val="0"/>
        </w:rPr>
        <w:t xml:space="preserve">, </w:t>
      </w:r>
      <w:r>
        <w:t xml:space="preserve">Interpreters and Assemblers, </w:t>
      </w:r>
      <w:r>
        <w:rPr>
          <w:rFonts w:cs="Times New Roman"/>
          <w:i/>
          <w:iCs/>
          <w:kern w:val="0"/>
        </w:rPr>
        <w:t xml:space="preserve">en </w:t>
      </w:r>
      <w:r w:rsidRPr="00837851">
        <w:rPr>
          <w:rFonts w:cs="Times New Roman"/>
          <w:smallCaps/>
          <w:kern w:val="0"/>
        </w:rPr>
        <w:t xml:space="preserve">Understanding Microcomputers</w:t>
      </w:r>
      <w:r w:rsidRPr="00837851">
        <w:rPr>
          <w:rFonts w:cs="Times New Roman"/>
          <w:kern w:val="0"/>
        </w:rPr>
        <w:t xml:space="preserve"> 107 (Dennis Longley y Michael Shain, eds., 1985), https://doi.org/10.1007/978-1-349-07553-9_9.</w:t>
      </w:r>
      <w:r>
        <w:fldChar w:fldCharType="end"/>
      </w:r>
    </w:p>
  </w:footnote>
  <w:footnote w:id="117">
    <w:p w:rsidR="009902A7" w:rsidRDefault="009902A7" w14:paraId="551962E4" w14:textId="4E50C7D8">
      <w:pPr>
        <w:pStyle w:val="FootnoteText"/>
      </w:pPr>
      <w:r>
        <w:rPr>
          <w:rStyle w:val="FootnoteReference"/>
        </w:rPr>
        <w:footnoteRef/>
      </w:r>
      <w:r>
        <w:fldChar w:fldCharType="begin"/>
      </w:r>
      <w:r>
        <w:instrText xml:space="preserve"> ADDIN ZOTERO_ITEM CSL_CITATION {"citationID":"yuv4pcfd","properties":{"formattedCitation":"See {\\scaps Nancy F. Cott}, {\\scaps Semiotics and Interpretation} (2017), https://www.degruyter.com/document/doi/10.12987/9780300160932/html.","plainCitation":"See Nancy F. Cott, Semiotics and Interpretation (2017), https://www.degruyter.com/document/doi/10.12987/9780300160932/html.","noteIndex":54},"citationItems":[{"id":229,"uris":["http://zotero.org/users/20142566/items/3LA2FG4G"],"itemData":{"id":229,"type":"book","DOI":"10.12987/9780300160932","ISBN":"978-0-300-16093-2","publisher":"Yale University Press","source":"DOI.org (Crossref)","title":"Semiotics and Interpretation","URL":"https://www.degruyter.com/document/doi/10.12987/9780300160932/html","author":[{"family":"Cott","given":"Nancy F."}],"accessed":{"date-parts":[["2026",4,13]]},"issued":{"date-parts":[["2017",12,31]]}},"prefix":"See"}],"schema":"https://github.com/citation-style-language/schema/raw/master/csl-citation.json"} </w:instrText>
      </w:r>
      <w:r>
        <w:fldChar w:fldCharType="separate"/>
      </w:r>
      <w:r w:rsidRPr="009902A7">
        <w:rPr>
          <w:rFonts w:cs="Times New Roman"/>
          <w:kern w:val="0"/>
        </w:rPr>
        <w:t xml:space="preserve"> Véase </w:t>
      </w:r>
      <w:r w:rsidRPr="009902A7">
        <w:rPr>
          <w:rFonts w:cs="Times New Roman"/>
          <w:smallCaps/>
          <w:kern w:val="0"/>
        </w:rPr>
        <w:t xml:space="preserve">Nancy F. Cott</w:t>
      </w:r>
      <w:r>
        <w:rPr>
          <w:rFonts w:cs="Times New Roman"/>
          <w:kern w:val="0"/>
        </w:rPr>
        <w:t>,</w:t>
      </w:r>
      <w:r>
        <w:rPr>
          <w:rFonts w:cs="Times New Roman"/>
          <w:smallCaps/>
          <w:kern w:val="0"/>
        </w:rPr>
        <w:t xml:space="preserve"> </w:t>
      </w:r>
      <w:r>
        <w:t>Semiotics</w:t>
      </w:r>
      <w:r>
        <w:rPr>
          <w:rFonts w:cs="Times New Roman"/>
          <w:smallCaps/>
          <w:kern w:val="0"/>
        </w:rPr>
        <w:t xml:space="preserve"> and </w:t>
      </w:r>
      <w:r>
        <w:t>Interpretation</w:t>
      </w:r>
      <w:r>
        <w:rPr>
          <w:rFonts w:cs="Times New Roman"/>
          <w:smallCaps/>
          <w:kern w:val="0"/>
        </w:rPr>
        <w:t xml:space="preserve"> </w:t>
      </w:r>
      <w:r w:rsidRPr="009902A7">
        <w:rPr>
          <w:rFonts w:cs="Times New Roman"/>
          <w:kern w:val="0"/>
        </w:rPr>
        <w:t xml:space="preserve">(2017), https://www.degruyter.com/document/doi/10.12987/9780300160932/html.</w:t>
      </w:r>
      <w:r>
        <w:fldChar w:fldCharType="end"/>
      </w:r>
    </w:p>
  </w:footnote>
  <w:footnote w:id="118">
    <w:p w:rsidR="0061037E" w:rsidRDefault="0061037E" w14:paraId="0814035B" w14:textId="35F9A957">
      <w:pPr>
        <w:pStyle w:val="FootnoteText"/>
      </w:pPr>
      <w:r>
        <w:rPr>
          <w:rStyle w:val="FootnoteReference"/>
        </w:rPr>
        <w:footnoteRef/>
      </w:r>
      <w:r>
        <w:fldChar w:fldCharType="begin"/>
      </w:r>
      <w:r>
        <w:instrText xml:space="preserve"> ADDIN ZOTERO_ITEM CSL_CITATION {"citationID":"qjNRId4m","properties":{"formattedCitation":"See N. Chomsky, {\\i{}Three Models for the Description of Language}, 2 {\\scaps IRE Trans. Inf. Theory} 113 (1956).","plainCitation":"See N. Chomsky, Three Models for the Description of Language, 2 IRE Trans. Inf. Theory 113 (1956).","noteIndex":45},"citationItems":[{"id":51,"uris":["http://zotero.org/users/20142566/items/GENGGNCY"],"itemData":{"id":51,"type":"article-journal","abstract":"We investigate several conceptions of linguistic structure to determine whether or not they can provide simple and \"revealing\" grammars that generate all of the sentences of English and only these. We find that no finite-state Markov process that produces symbols with transition from state to state can serve as an English grammar. Furthermore, the particular subclass of such processes that producen-order statistical approximations to English do not come closer, with increasingn, to matching the output of an English grammar. We formalize-the notions of \"phrase structure\" and show that this gives us a method for describing language which is essentially more powerful, though still representable as a rather elementary type of finite-state process. Nevertheless, it is successful only when limited to a small subset of simple sentences. We study the formal properties of a set of grammatical transformations that carry sentences with phrase structure into new sentences with derived phrase structure, showing that transformational grammars are processes of the same elementary type as phrase-structure grammars; that the grammar of English is materially simplified if phrase structure description is limited to a kernel of simple sentences from which all other sentences are constructed by repeated transformations; and that this view of linguistic structure gives a certain insight into the use and understanding of language.","container-title":"IRE Transactions on Information Theory","DOI":"10.1109/TIT.1956.1056813","ISSN":"2168-2712","issue":"3","page":"113-124","source":"IEEE Xplore","title":"Three models for the description of language","volume":"2","author":[{"family":"Chomsky","given":"N."}],"issued":{"date-parts":[["1956",9]]}},"prefix":"See"}],"schema":"https://github.com/citation-style-language/schema/raw/master/csl-citation.json"} </w:instrText>
      </w:r>
      <w:r>
        <w:fldChar w:fldCharType="separate"/>
      </w:r>
      <w:r w:rsidRPr="0061037E">
        <w:rPr>
          <w:rFonts w:cs="Times New Roman"/>
          <w:kern w:val="0"/>
        </w:rPr>
        <w:t xml:space="preserve"> Véase N. Chomsky, </w:t>
      </w:r>
      <w:r>
        <w:t>Three</w:t>
      </w:r>
      <w:r>
        <w:rPr>
          <w:rFonts w:cs="Times New Roman"/>
          <w:i/>
          <w:iCs/>
          <w:kern w:val="0"/>
        </w:rPr>
        <w:t xml:space="preserve"> Models for the Description of </w:t>
      </w:r>
      <w:r>
        <w:t>Language</w:t>
      </w:r>
      <w:r>
        <w:rPr>
          <w:rFonts w:cs="Times New Roman"/>
          <w:kern w:val="0"/>
        </w:rPr>
        <w:t>, 2</w:t>
      </w:r>
      <w:r>
        <w:t xml:space="preserve"> IRE Trans. Inf. Theory </w:t>
      </w:r>
      <w:r>
        <w:rPr>
          <w:rFonts w:cs="Times New Roman"/>
          <w:kern w:val="0"/>
        </w:rPr>
        <w:t>113 (1956).</w:t>
      </w:r>
      <w:r>
        <w:fldChar w:fldCharType="end"/>
      </w:r>
    </w:p>
  </w:footnote>
  <w:footnote w:id="119">
    <w:p w:rsidR="007A1D46" w:rsidRDefault="007A1D46" w14:paraId="4A49C49A" w14:textId="60C63E11">
      <w:pPr>
        <w:pStyle w:val="FootnoteText"/>
      </w:pPr>
      <w:r>
        <w:rPr>
          <w:rStyle w:val="FootnoteReference"/>
        </w:rPr>
        <w:footnoteRef/>
      </w:r>
      <w:r>
        <w:fldChar w:fldCharType="begin"/>
      </w:r>
      <w:r>
        <w:instrText xml:space="preserve"> ADDIN ZOTERO_ITEM CSL_CITATION {"citationID":"I7Ban4yU","properties":{"formattedCitation":"See Barry McMullin, {\\i{}Computational Autopoiesis: The Original Algorithm} (1997) (examples of autopoietic software).","plainCitation":"See Barry McMullin, Computational Autopoiesis: The Original Algorithm (1997) (examples of autopoietic software).","noteIndex":54},"citationItems":[{"id":204,"uris":["http://zotero.org/users/20142566/items/X6E3ZJY9"],"itemData":{"id":204,"type":"article-journal","abstract":"This report presents a detailed review and re-presentation of the algorithm for (computational) realisation of autopoiesis, originally presented by Varela, Maturana &amp; Uribe (1974). The review is from the perspective of one seeking to re-implement this algorithm. It arises from an on-going project to develop such a re-implementation using the Swarm simulation system.1 The motivation for such re-implementation is rstly to critically re-examine the phenomenology generated by this model chemistry, and secondly to use it as a basis for exploring more complex systems. The algorithm is rst reviewed and annotated for internal consistency and clarity; it is then separately reviewed for consistency with the experimental results which originally accompanied it. A number of signi cant discrepancies are discussed. By kind permission of Francisco Varela, this report also includes, as an Appendix, some previously unpublished documentation and source code (in FORTRAN IV) associated with the original model. By critical consideration of the experimental results in conjunction with this code, an important|perhaps crucial|interaction, not included in any previous description of the model, has been re-discovered. This interaction is presented and discussed brie y.","language":"en","source":"Zotero","title":"Computational Autopoiesis: The Original Algorithm","author":[{"family":"McMullin","given":"Barry"}],"issued":{"date-parts":[["1997"]]}},"prefix":"See","suffix":" (examples of autopoietic software)"}],"schema":"https://github.com/citation-style-language/schema/raw/master/csl-citation.json"} </w:instrText>
      </w:r>
      <w:r>
        <w:fldChar w:fldCharType="separate"/>
      </w:r>
      <w:r w:rsidRPr="007A1D46">
        <w:rPr>
          <w:rFonts w:cs="Times New Roman"/>
          <w:kern w:val="0"/>
        </w:rPr>
        <w:t xml:space="preserve"> Véase Barry McMullin, </w:t>
      </w:r>
      <w:r>
        <w:t>Computational Autopoiesis</w:t>
      </w:r>
      <w:r>
        <w:rPr>
          <w:rFonts w:cs="Times New Roman"/>
          <w:i/>
          <w:iCs/>
          <w:kern w:val="0"/>
        </w:rPr>
        <w:t xml:space="preserve">: </w:t>
      </w:r>
      <w:r>
        <w:t>The Original Algorithm</w:t>
      </w:r>
      <w:r>
        <w:rPr>
          <w:rFonts w:cs="Times New Roman"/>
          <w:kern w:val="0"/>
        </w:rPr>
        <w:t xml:space="preserve"> (1997) (ejemplos de software </w:t>
      </w:r>
      <w:r>
        <w:t>autopoiético</w:t>
      </w:r>
      <w:r>
        <w:rPr>
          <w:rFonts w:cs="Times New Roman"/>
          <w:kern w:val="0"/>
        </w:rPr>
        <w:t>).</w:t>
      </w:r>
      <w:r>
        <w:fldChar w:fldCharType="end"/>
      </w:r>
    </w:p>
  </w:footnote>
  <w:footnote w:id="120">
    <w:p w:rsidR="00620936" w:rsidRDefault="00620936" w14:paraId="3BF5DFDF" w14:textId="6F5F494C">
      <w:pPr>
        <w:pStyle w:val="FootnoteText"/>
      </w:pPr>
      <w:r>
        <w:rPr>
          <w:rStyle w:val="FootnoteReference"/>
        </w:rPr>
        <w:footnoteRef/>
      </w:r>
      <w:r>
        <w:fldChar w:fldCharType="begin"/>
      </w:r>
      <w:r w:rsidR="00C04038">
        <w:instrText xml:space="preserve"> ADDIN ZOTERO_ITEM CSL_CITATION {"citationID":"kxl21eK3","properties":{"formattedCitation":"Noam Chomsky, {\\i{}Syntactic Structures}, {\\i{}in} {\\scaps Syntactic Structures} (2009), https://www.degruyterbrill.com/document/doi/10.1515/9783110218329/html.","plainCitation":"Noam Chomsky, Syntactic Structures, in Syntactic Structures (2009), https://www.degruyterbrill.com/document/doi/10.1515/9783110218329/html.","noteIndex":45},"citationItems":[{"id":50,"uris":["http://zotero.org/users/20142566/items/JB5BTMWC"],"itemData":{"id":50,"type":"chapter","container-title":"Syntactic Structures","DOI":"10.1515/9783110218329","ISBN":"978-3-11-021832-9","language":"en","publisher":"De Gruyter Mouton","source":"www.degruyterbrill.com","title":"Syntactic Structures","URL":"https://www.degruyterbrill.com/document/doi/10.1515/9783110218329/html","author":[{"family":"Chomsky","given":"Noam"}],"accessed":{"date-parts":[["2026",4,6]]},"issued":{"date-parts":[["2009",9,24]]}}}],"schema":"https://github.com/citation-style-language/schema/raw/master/csl-citation.json"} </w:instrText>
      </w:r>
      <w:r>
        <w:fldChar w:fldCharType="separate"/>
      </w:r>
      <w:r w:rsidRPr="00620936">
        <w:rPr>
          <w:rFonts w:cs="Times New Roman"/>
          <w:kern w:val="0"/>
          <w:lang w:bidi="yi-Hebr"/>
        </w:rPr>
        <w:t xml:space="preserve"> Noam Chomsky, </w:t>
      </w:r>
      <w:r>
        <w:t xml:space="preserve">Syntactic Structures, </w:t>
      </w:r>
      <w:r>
        <w:rPr>
          <w:rFonts w:cs="Times New Roman"/>
          <w:i/>
          <w:iCs/>
          <w:kern w:val="0"/>
          <w:lang w:bidi="yi-Hebr"/>
        </w:rPr>
        <w:t xml:space="preserve">en </w:t>
      </w:r>
      <w:r>
        <w:t>Syntactic Structures</w:t>
      </w:r>
      <w:r>
        <w:rPr>
          <w:rFonts w:cs="Times New Roman"/>
          <w:smallCaps/>
          <w:kern w:val="0"/>
          <w:lang w:bidi="yi-Hebr"/>
        </w:rPr>
        <w:t xml:space="preserve"> </w:t>
      </w:r>
      <w:r w:rsidRPr="00620936">
        <w:rPr>
          <w:rFonts w:cs="Times New Roman"/>
          <w:kern w:val="0"/>
          <w:lang w:bidi="yi-Hebr"/>
        </w:rPr>
        <w:t xml:space="preserve">(2009), https://www.degruyterbrill.com/document/doi/10.1515/9783110218329/html.</w:t>
      </w:r>
      <w:r>
        <w:fldChar w:fldCharType="end"/>
      </w:r>
    </w:p>
  </w:footnote>
  <w:footnote w:id="121">
    <w:p w:rsidRPr="004E3A22" w:rsidR="00EB47B6" w:rsidRDefault="00EB47B6" w14:paraId="42C7F309" w14:textId="7031A71B">
      <w:pPr>
        <w:pStyle w:val="FootnoteText"/>
      </w:pPr>
      <w:r>
        <w:rPr>
          <w:rStyle w:val="FootnoteReference"/>
        </w:rPr>
        <w:footnoteRef/>
      </w:r>
      <w:r>
        <w:fldChar w:fldCharType="begin"/>
      </w:r>
      <w:r w:rsidR="00C04038">
        <w:instrText xml:space="preserve"> ADDIN ZOTERO_ITEM CSL_CITATION {"citationID":"euOasLoS","properties":{"formattedCitation":"{\\i{}See} {\\scaps Pierre Bourdieu, John B. Thompson &amp; Gino Raymond}, {\\scaps Language and Symbolic Power} (Reprinted ed. 2003); {\\i{}see also} {\\scaps Michel Foucault}, {\\scaps Archaeology of Knowledge} (2 ed. 2013).","plainCitation":"See Pierre Bourdieu, John B. Thompson &amp; Gino Raymond, Language and Symbolic Power (Reprinted ed. 2003); see also Michel Foucault, Archaeology of Knowledge (2 ed. 2013).","noteIndex":46},"citationItems":[{"id":46,"uris":["http://zotero.org/users/20142566/items/UJP4Z7ZZ"],"itemData":{"id":46,"type":"book","edition":"Reprinted","ISBN":"978-0-674-51041-8","number-of-pages":"302","publisher":"Harvard Univ. Press","publisher-place":"Cambridge","source":"K10plus ISBN","title":"Language and Symbolic Power","author":[{"family":"Bourdieu","given":"Pierre"},{"family":"Thompson","given":"John B."},{"family":"Raymond","given":"Gino"}],"issued":{"date-parts":[["2003"]]}},"prefix":"&lt;i&gt;See&lt;/i&gt;"},{"id":45,"uris":["http://zotero.org/users/20142566/items/EHEHRREU"],"itemData":{"id":45,"type":"book","abstract":"In France, a country that awards its intellectuals the status other countries give their rock stars, Michel Foucault was part of a glittering generation of thinkers, one which also included Sartre, de Beauvoir and Deleuze. One of the great intellectual heroes of the twentieth century, Foucault was a man whose passion and reason were at the service of nearly every progressive cause of his time. From law and order, to mental health, to power and knowledge, he spearheaded public awareness of the dynamics that hold us all in thrall to a few powerful ideologies and interests. Arguably his finest work, Archaeology of Knowledge is a challenging but fantastically rewarding introduction to his ideas.","DOI":"10.4324/9780203604168","edition":"2","ISBN":"978-0-203-60416-8","number-of-pages":"256","publisher":"Routledge","publisher-place":"London","title":"Archaeology of Knowledge","author":[{"family":"Foucault","given":"Michel"}],"issued":{"date-parts":[["2013",4,14]]}},"prefix":"&lt;i&gt;see also&lt;/i&gt;"}],"schema":"https://github.com/citation-style-language/schema/raw/master/csl-citation.json"} </w:instrText>
      </w:r>
      <w:r>
        <w:fldChar w:fldCharType="separate"/>
      </w:r>
      <w:r w:rsidRPr="000969E5" w:rsidR="000969E5">
        <w:rPr>
          <w:rFonts w:cs="Times New Roman"/>
          <w:i/>
          <w:iCs/>
          <w:kern w:val="0"/>
          <w:lang w:bidi="yi-Hebr"/>
        </w:rPr>
        <w:t xml:space="preserve"> Véase </w:t>
      </w:r>
      <w:r w:rsidRPr="000969E5" w:rsidR="000969E5">
        <w:rPr>
          <w:rFonts w:cs="Times New Roman"/>
          <w:smallCaps/>
          <w:kern w:val="0"/>
          <w:lang w:bidi="yi-Hebr"/>
        </w:rPr>
        <w:t xml:space="preserve">Pierre Bourdieu, John B. Thompson y Gino Raymond</w:t>
      </w:r>
      <w:r>
        <w:rPr>
          <w:rFonts w:cs="Times New Roman"/>
          <w:kern w:val="0"/>
          <w:lang w:bidi="yi-Hebr"/>
        </w:rPr>
        <w:t>,</w:t>
      </w:r>
      <w:r>
        <w:t xml:space="preserve"> </w:t>
      </w:r>
      <w:r>
        <w:rPr>
          <w:rFonts w:cs="Times New Roman"/>
          <w:smallCaps/>
          <w:kern w:val="0"/>
          <w:lang w:bidi="yi-Hebr"/>
        </w:rPr>
        <w:t xml:space="preserve">Language and Symbolic Power </w:t>
      </w:r>
      <w:r>
        <w:t>(ed.</w:t>
      </w:r>
      <w:r>
        <w:rPr>
          <w:rFonts w:cs="Times New Roman"/>
          <w:kern w:val="0"/>
          <w:lang w:bidi="yi-Hebr"/>
        </w:rPr>
        <w:t xml:space="preserve"> reimpresa, 2003); </w:t>
      </w:r>
      <w:r w:rsidRPr="000969E5" w:rsidR="000969E5">
        <w:rPr>
          <w:rFonts w:cs="Times New Roman"/>
          <w:i/>
          <w:iCs/>
          <w:kern w:val="0"/>
          <w:lang w:bidi="yi-Hebr"/>
        </w:rPr>
        <w:t xml:space="preserve">véase también </w:t>
      </w:r>
      <w:r w:rsidRPr="000969E5" w:rsidR="000969E5">
        <w:rPr>
          <w:rFonts w:cs="Times New Roman"/>
          <w:smallCaps/>
          <w:kern w:val="0"/>
          <w:lang w:bidi="yi-Hebr"/>
        </w:rPr>
        <w:t xml:space="preserve">Michel Foucault</w:t>
      </w:r>
      <w:r>
        <w:rPr>
          <w:rFonts w:cs="Times New Roman"/>
          <w:kern w:val="0"/>
          <w:lang w:bidi="yi-Hebr"/>
        </w:rPr>
        <w:t>,</w:t>
      </w:r>
      <w:r>
        <w:t xml:space="preserve"> </w:t>
      </w:r>
      <w:r>
        <w:rPr>
          <w:rFonts w:cs="Times New Roman"/>
          <w:smallCaps/>
          <w:kern w:val="0"/>
          <w:lang w:bidi="yi-Hebr"/>
        </w:rPr>
        <w:t xml:space="preserve">Archaeology of Knowledge </w:t>
      </w:r>
      <w:r w:rsidRPr="000969E5" w:rsidR="000969E5">
        <w:rPr>
          <w:rFonts w:cs="Times New Roman"/>
          <w:kern w:val="0"/>
          <w:lang w:bidi="yi-Hebr"/>
        </w:rPr>
        <w:t xml:space="preserve">(2.ª ed., 2013).</w:t>
      </w:r>
      <w:r>
        <w:fldChar w:fldCharType="end"/>
      </w:r>
    </w:p>
  </w:footnote>
  <w:footnote w:id="122">
    <w:p w:rsidRPr="004E3A22" w:rsidR="00317FE7" w:rsidRDefault="00317FE7" w14:paraId="5A559426" w14:textId="68F116E5">
      <w:pPr>
        <w:pStyle w:val="FootnoteText"/>
      </w:pPr>
      <w:r>
        <w:rPr>
          <w:rStyle w:val="FootnoteReference"/>
        </w:rPr>
        <w:footnoteRef/>
      </w:r>
      <w:r>
        <w:fldChar w:fldCharType="begin"/>
      </w:r>
      <w:r w:rsidR="00C04038">
        <w:instrText xml:space="preserve"> ADDIN ZOTERO_ITEM CSL_CITATION {"citationID":"qqAsM3ls","properties":{"formattedCitation":"{\\i{}See} {\\scaps Norbert Wiener}, {\\scaps The Human Use of Human Beings: Cybernetics and Society} (2025), https://mitpressbookstore.mit.edu/book/9780063423190 (arguing that systems optimizing strictly for operational control reduce human communication to mechanistic feedback loops, severing the message from its culturally embedded values).","plainCitation":"See Norbert Wiener, The Human Use of Human Beings: Cybernetics and Society (2025), https://mitpressbookstore.mit.edu/book/9780063423190 (arguing that systems optimizing strictly for operational control reduce human communication to mechanistic feedback loops, severing the message from its culturally embedded values).","noteIndex":47},"citationItems":[{"id":47,"uris":["http://zotero.org/users/20142566/items/3UWEL3I9"],"itemData":{"id":47,"type":"book","abstract":"For the 75th anniversary, a new edition of The Human Use of Human Beings—the landmark book that delves into the relationship between humans and computers, and presciently anticipates many contemporary dilemmas surrounding AI technology. With a new introduction by Brian Christian, author of the bestselling Algorithms to Live By and The Alignment Problem. In 1950, mathematician-philosopher Norbert Wiener ended this classic book on the place of machines in society with a warning: “We shall never receive the right answers to our questions unless we ask the right questions.... The hour is very late, and the choice of good and evil knocks at our door.” Wiener, the founder of the science of cybernetics—the study of the relationship between computers and the human nervous system—was widely mislabeled as an advocate for the automation of human life. As The Human Use for Human Beings reveals, his vision was much more complex and interesting, and is more relevant in today’s world of AI than anyone could have anticipated. In his new introduction, Brian Christian aptly calls Wiener the “progenitor of contemporary AI-safety discourse.” Wiener hoped that machines would release people from relentless and repetitive drudgery to achieve more creative pursuits, yet he anticipated the danger of dehumanizing and displacement. His pioneering views on the human-machine relationship as a “communicative process” are only more crucial now, as we carry in our pockets AI devices that we can literally speak to. His prescient warnings illuminate our contemporary relationships with language, art, and even social media. The Human Use of Human Beings examines the implications of cybernetics for education, law, language, science, technology, as Wiener anticipates the enormous impact—in effect, a third industrial revolution—that the computer has had on our lives.","ISBN":"978-0-06-342319-0","language":"en","number-of-pages":"240","original-publisher":"Houghton Mifflin","publisher":"Mariner Books Classics","publisher-place":"Boston","title":"The Human Use of Human Beings: Cybernetics and Society","title-short":"The Human Use of Human Beings","URL":"https://mitpressbookstore.mit.edu/book/9780063423190","author":[{"family":"Wiener","given":"Norbert"}],"accessed":{"date-parts":[["2026",4,6]]},"issued":{"date-parts":[["2025",8,12]]},"original-date":{"date-parts":[["1954"]]}},"prefix":"&lt;i&gt;See&lt;/i&gt;","suffix":"(arguing that systems optimizing strictly for operational control reduce human communication to mechanistic feedback loops, severing the message from its culturally embedded values)"}],"schema":"https://github.com/citation-style-language/schema/raw/master/csl-citation.json"} </w:instrText>
      </w:r>
      <w:r>
        <w:fldChar w:fldCharType="separate"/>
      </w:r>
      <w:r w:rsidRPr="004E3A22" w:rsidR="00E07D34">
        <w:rPr>
          <w:rFonts w:cs="Times New Roman"/>
          <w:i/>
          <w:iCs/>
          <w:kern w:val="0"/>
          <w:lang w:bidi="yi-Hebr"/>
        </w:rPr>
        <w:t xml:space="preserve"> Véase </w:t>
      </w:r>
      <w:r w:rsidRPr="004E3A22" w:rsidR="00E07D34">
        <w:rPr>
          <w:rFonts w:cs="Times New Roman"/>
          <w:smallCaps/>
          <w:kern w:val="0"/>
          <w:lang w:bidi="yi-Hebr"/>
        </w:rPr>
        <w:t xml:space="preserve">Norbert Wiener</w:t>
      </w:r>
      <w:r>
        <w:rPr>
          <w:rFonts w:cs="Times New Roman"/>
          <w:kern w:val="0"/>
          <w:lang w:bidi="yi-Hebr"/>
        </w:rPr>
        <w:t>,</w:t>
      </w:r>
      <w:r>
        <w:rPr>
          <w:rFonts w:cs="Times New Roman"/>
          <w:smallCaps/>
          <w:kern w:val="0"/>
          <w:lang w:bidi="yi-Hebr"/>
        </w:rPr>
        <w:t xml:space="preserve"> </w:t>
      </w:r>
      <w:r>
        <w:t>The Human Use of Human Beings</w:t>
      </w:r>
      <w:r>
        <w:rPr>
          <w:rFonts w:cs="Times New Roman"/>
          <w:smallCaps/>
          <w:kern w:val="0"/>
          <w:lang w:bidi="yi-Hebr"/>
        </w:rPr>
        <w:t xml:space="preserve">: </w:t>
      </w:r>
      <w:r>
        <w:t>Cybernetics and Society</w:t>
      </w:r>
      <w:r>
        <w:rPr>
          <w:rFonts w:cs="Times New Roman"/>
          <w:smallCaps/>
          <w:kern w:val="0"/>
          <w:lang w:bidi="yi-Hebr"/>
        </w:rPr>
        <w:t xml:space="preserve"> </w:t>
      </w:r>
      <w:r>
        <w:rPr>
          <w:rFonts w:cs="Times New Roman"/>
          <w:kern w:val="0"/>
          <w:lang w:bidi="yi-Hebr"/>
        </w:rPr>
        <w:t xml:space="preserve">(2025), https://mitpressbookstore.mit.edu/book/9780063423190 (donde se </w:t>
      </w:r>
      <w:r>
        <w:t>sostiene</w:t>
      </w:r>
      <w:r>
        <w:rPr>
          <w:rFonts w:cs="Times New Roman"/>
          <w:kern w:val="0"/>
          <w:lang w:bidi="yi-Hebr"/>
        </w:rPr>
        <w:t xml:space="preserve"> que los sistemas optimizados estrictamente para el control operativo reducen la comunicación humana a bucles de retroalimentación </w:t>
      </w:r>
      <w:r>
        <w:t>mecánicos</w:t>
      </w:r>
      <w:r>
        <w:rPr>
          <w:rFonts w:cs="Times New Roman"/>
          <w:kern w:val="0"/>
          <w:lang w:bidi="yi-Hebr"/>
        </w:rPr>
        <w:t>, separando el mensaje de sus valores culturalmente arraigados).</w:t>
      </w:r>
      <w:r>
        <w:fldChar w:fldCharType="end"/>
      </w:r>
    </w:p>
  </w:footnote>
  <w:footnote w:id="123">
    <w:p w:rsidR="003D5A83" w:rsidRDefault="00000000" w14:paraId="44E69C1E" w14:textId="77777777">
      <w:pPr>
        <w:pStyle w:val="FootnoteText"/>
      </w:pPr>
      <w:r>
        <w:rPr>
          <w:rStyle w:val="FootnoteReference"/>
        </w:rPr>
        <w:footnoteRef/>
      </w:r>
      <w:r>
        <w:t xml:space="preserve"> C. E. Shannon, </w:t>
      </w:r>
      <w:r>
        <w:t>A Mathematical Theory of Communication</w:t>
      </w:r>
      <w:r>
        <w:t xml:space="preserve">, 27 </w:t>
      </w:r>
      <w:r>
        <w:rPr>
          <w:smallCaps/>
        </w:rPr>
        <w:t xml:space="preserve">Bell Sys. Tech. J.</w:t>
      </w:r>
      <w:r>
        <w:t xml:space="preserve"> 379, 379 (1948).</w:t>
      </w:r>
    </w:p>
  </w:footnote>
  <w:footnote w:id="124">
    <w:p w:rsidR="00D1525C" w:rsidRDefault="00D1525C" w14:paraId="6CF5229B" w14:textId="61D47AC4">
      <w:pPr>
        <w:pStyle w:val="FootnoteText"/>
      </w:pPr>
      <w:r>
        <w:rPr>
          <w:rStyle w:val="FootnoteReference"/>
        </w:rPr>
        <w:footnoteRef/>
      </w:r>
      <w:r>
        <w:fldChar w:fldCharType="begin"/>
      </w:r>
      <w:r w:rsidR="00C04038">
        <w:instrText xml:space="preserve"> ADDIN ZOTERO_ITEM CSL_CITATION {"citationID":"WGsf2Q6d","properties":{"formattedCitation":"Mireille Hildebrandt, {\\i{}Law as Information in the Era of Data\\uc0\\u8208{}Driven Agency}, 79 {\\scaps Mod. Law Rev.} 1 (2016).","plainCitation":"Mireille Hild</w:instrText>
      </w:r>
      <w:r w:rsidR="00C04038">
        <w:rPr>
          <w:rFonts w:hint="eastAsia"/>
        </w:rPr>
        <w:instrText>ebrandt, Law as Information in the Era of Data</w:instrText>
      </w:r>
      <w:r w:rsidR="00C04038">
        <w:rPr>
          <w:rFonts w:hint="eastAsia"/>
        </w:rPr>
        <w:instrText>‐</w:instrText>
      </w:r>
      <w:r w:rsidR="00C04038">
        <w:rPr>
          <w:rFonts w:hint="eastAsia"/>
        </w:rPr>
        <w:instrText>Driven Agency, 79 Mod. Law Rev. 1 (2016).","noteIndex":48},"citationItems":[{"id":21,"uris":["http://zotero.org/users/20142566/items/VQJVTK2X"],"itemData":{"id":21,"type":"article-journal","abstract":"This co</w:instrText>
      </w:r>
      <w:r w:rsidR="00C04038">
        <w:instrText>ntribution introduces the mathematical theory of information that ‘informs’ computer systems, the internet and all that has been built upon it. The aim of the author is to invite lawyers to reconsider the grammar and alphabet of modern positive law and of</w:instrText>
      </w:r>
      <w:r w:rsidR="00C04038">
        <w:rPr>
          <w:rFonts w:hint="eastAsia"/>
        </w:rPr>
        <w:instrText xml:space="preserve"> the Rule of Law, in the face of the alternative grammar and alphabet of a data</w:instrText>
      </w:r>
      <w:r w:rsidR="00C04038">
        <w:rPr>
          <w:rFonts w:hint="eastAsia"/>
        </w:rPr>
        <w:instrText>‐</w:instrText>
      </w:r>
      <w:r w:rsidR="00C04038">
        <w:rPr>
          <w:rFonts w:hint="eastAsia"/>
        </w:rPr>
        <w:instrText>driven society. Instead of either embracing or rejecting the technological transitions that reconfigure the operations of the law, this article argues that lawyers should collaborate with the computer scientists that engineer and design the affordances of our new onli\n              f\n              e world. This is crucial if we want to sustain democratic participation in law</w:instrText>
      </w:r>
      <w:r w:rsidR="00C04038">
        <w:rPr>
          <w:rFonts w:hint="eastAsia"/>
        </w:rPr>
        <w:instrText>‐</w:instrText>
      </w:r>
      <w:r w:rsidR="00C04038">
        <w:rPr>
          <w:rFonts w:hint="eastAsia"/>
        </w:rPr>
        <w:instrText>making, contestability of legal effect and transpa</w:instrText>
      </w:r>
      <w:r w:rsidR="00C04038">
        <w:instrText>rency of how citizens may be manipulated by the invisible computational backbone of our rapidly and radically changing world.","container-title":"The Modern Law Review","DOI":"10.1111/1468-2230.12165","ISSN":"0026-7961, 1468-2230","issue":"1","journalAbbr</w:instrText>
      </w:r>
      <w:r w:rsidR="00C04038">
        <w:rPr>
          <w:rFonts w:hint="eastAsia"/>
        </w:rPr>
        <w:instrText>eviation":"Modern Law Review","language":"en","license":"http://onlinelibrary.wiley.com/termsAndConditions#vor","page":"1-30","source":"DOI.org (Crossref)","title":"Law as Information in the Era of Data</w:instrText>
      </w:r>
      <w:r w:rsidR="00C04038">
        <w:rPr>
          <w:rFonts w:hint="eastAsia"/>
        </w:rPr>
        <w:instrText>‐</w:instrText>
      </w:r>
      <w:r w:rsidR="00C04038">
        <w:rPr>
          <w:rFonts w:hint="eastAsia"/>
        </w:rPr>
        <w:instrText>Driven Agency","volume":"79","author":[{"family":"Hi</w:instrText>
      </w:r>
      <w:r w:rsidR="00C04038">
        <w:instrText xml:space="preserve">ldebrandt","given":"Mireille"}],"issued":{"date-parts":[["2016",1]]}}}],"schema":"https://github.com/citation-style-language/schema/raw/master/csl-citation.json"} </w:instrText>
      </w:r>
      <w:r>
        <w:fldChar w:fldCharType="separate"/>
      </w:r>
      <w:r w:rsidRPr="00D1525C">
        <w:rPr>
          <w:rFonts w:cs="Times New Roman"/>
          <w:kern w:val="0"/>
          <w:lang w:bidi="yi-Hebr"/>
        </w:rPr>
        <w:t xml:space="preserve"> Mireille Hildebrandt, </w:t>
      </w:r>
      <w:r>
        <w:t>Law</w:t>
      </w:r>
      <w:r>
        <w:rPr>
          <w:rFonts w:cs="Times New Roman"/>
          <w:i/>
          <w:iCs/>
          <w:kern w:val="0"/>
          <w:lang w:bidi="yi-Hebr"/>
        </w:rPr>
        <w:t xml:space="preserve"> as Information in the Era of </w:t>
      </w:r>
      <w:r>
        <w:t>Data-Driven Agency</w:t>
      </w:r>
      <w:r>
        <w:rPr>
          <w:rFonts w:cs="Times New Roman"/>
          <w:kern w:val="0"/>
          <w:lang w:bidi="yi-Hebr"/>
        </w:rPr>
        <w:t>, 79</w:t>
      </w:r>
      <w:r>
        <w:t xml:space="preserve"> Mod. L. Rev. </w:t>
      </w:r>
      <w:r>
        <w:rPr>
          <w:rFonts w:cs="Times New Roman"/>
          <w:kern w:val="0"/>
          <w:lang w:bidi="yi-Hebr"/>
        </w:rPr>
        <w:t>1 (2016).</w:t>
      </w:r>
      <w:r>
        <w:fldChar w:fldCharType="end"/>
      </w:r>
    </w:p>
  </w:footnote>
  <w:footnote w:id="125">
    <w:p w:rsidR="00FA4739" w:rsidRDefault="00FA4739" w14:paraId="18A5767C" w14:textId="57AD9DD6">
      <w:pPr>
        <w:pStyle w:val="FootnoteText"/>
      </w:pPr>
      <w:r>
        <w:rPr>
          <w:rStyle w:val="FootnoteReference"/>
        </w:rPr>
        <w:footnoteRef/>
      </w:r>
      <w:r>
        <w:fldChar w:fldCharType="begin"/>
      </w:r>
      <w:r>
        <w:instrText xml:space="preserve"> ADDIN ZOTERO_ITEM CSL_CITATION {"citationID":"3cVoXUQR","properties":{"formattedCitation":"See {\\scaps John Carroll &amp; Darrell Long}, {\\scaps Theory of Finite Automata: With an Introduction to Formal Languages} (1989) (discussion on finite automata theory and the desire for determinism in computing).","plainCitation":"See John Carroll &amp; Darrell Long, Theory of Finite Automata: With an Introduction to Formal Languages (1989) (discussion on finite automata theory and the desire for determinism in computing).","noteIndex":60},"citationItems":[{"id":207,"uris":["http://zotero.org/users/20142566/items/BQ5HAARH"],"itemData":{"id":207,"type":"book","call-number":"QA267.5.S4 C35 1989","ISBN":"978-0-13-913708-2","number-of-pages":"438","publisher":"Prentice Hall","publisher-place":"Englewood Cliffs, N.J","source":"Library of Congress ISBN","title":"Theory of finite automata: with an introduction to formal languages","title-short":"Theory of finite automata","author":[{"family":"Carroll","given":"John"},{"family":"Long","given":"Darrell"}],"issued":{"date-parts":[["1989"]]}},"prefix":"See","suffix":" (discussion on finite automata theory and the desire for determinism in computing)"}],"schema":"https://github.com/citation-style-language/schema/raw/master/csl-citation.json"} </w:instrText>
      </w:r>
      <w:r>
        <w:fldChar w:fldCharType="separate"/>
      </w:r>
      <w:r w:rsidRPr="00FA4739">
        <w:rPr>
          <w:rFonts w:cs="Times New Roman"/>
          <w:kern w:val="0"/>
        </w:rPr>
        <w:t xml:space="preserve"> Véase </w:t>
      </w:r>
      <w:r w:rsidRPr="00FA4739">
        <w:rPr>
          <w:rFonts w:cs="Times New Roman"/>
          <w:smallCaps/>
          <w:kern w:val="0"/>
        </w:rPr>
        <w:t xml:space="preserve">John Carroll y Darrell Long</w:t>
      </w:r>
      <w:r>
        <w:rPr>
          <w:rFonts w:cs="Times New Roman"/>
          <w:kern w:val="0"/>
        </w:rPr>
        <w:t>,</w:t>
      </w:r>
      <w:r>
        <w:rPr>
          <w:rFonts w:cs="Times New Roman"/>
          <w:smallCaps/>
          <w:kern w:val="0"/>
        </w:rPr>
        <w:t xml:space="preserve"> </w:t>
      </w:r>
      <w:r>
        <w:t>Theory of Finite Automata</w:t>
      </w:r>
      <w:r>
        <w:rPr>
          <w:rFonts w:cs="Times New Roman"/>
          <w:smallCaps/>
          <w:kern w:val="0"/>
        </w:rPr>
        <w:t xml:space="preserve">: </w:t>
      </w:r>
      <w:r>
        <w:t>With an Introduction to Formal Languages</w:t>
      </w:r>
      <w:r>
        <w:rPr>
          <w:rFonts w:cs="Times New Roman"/>
          <w:smallCaps/>
          <w:kern w:val="0"/>
        </w:rPr>
        <w:t xml:space="preserve"> </w:t>
      </w:r>
      <w:r>
        <w:rPr>
          <w:rFonts w:cs="Times New Roman"/>
          <w:kern w:val="0"/>
        </w:rPr>
        <w:t xml:space="preserve">(1989) </w:t>
      </w:r>
      <w:r>
        <w:t>(sobre</w:t>
      </w:r>
      <w:r>
        <w:rPr>
          <w:rFonts w:cs="Times New Roman"/>
          <w:kern w:val="0"/>
        </w:rPr>
        <w:t xml:space="preserve"> la teoría de los autómatas finitos y el </w:t>
      </w:r>
      <w:r>
        <w:t>afán</w:t>
      </w:r>
      <w:r>
        <w:rPr>
          <w:rFonts w:cs="Times New Roman"/>
          <w:kern w:val="0"/>
        </w:rPr>
        <w:t xml:space="preserve"> de determinismo en la </w:t>
      </w:r>
      <w:r>
        <w:t>computación</w:t>
      </w:r>
      <w:r>
        <w:rPr>
          <w:rFonts w:cs="Times New Roman"/>
          <w:kern w:val="0"/>
        </w:rPr>
        <w:t>);</w:t>
      </w:r>
      <w:r>
        <w:fldChar w:fldCharType="end"/>
      </w:r>
      <w:r>
        <w:rPr>
          <w:rFonts w:ascii="Times New Roman" w:hAnsi="Times New Roman" w:cs="Times New Roman"/>
        </w:rPr>
        <w:t xml:space="preserve"> Monika </w:t>
      </w:r>
      <w:r>
        <w:rPr>
          <w:rFonts w:ascii="Times New Roman" w:hAnsi="Times New Roman" w:cs="Times New Roman"/>
        </w:rPr>
        <w:t xml:space="preserve">Zalnieriute</w:t>
      </w:r>
      <w:r>
        <w:rPr>
          <w:rFonts w:ascii="Times New Roman" w:hAnsi="Times New Roman" w:cs="Times New Roman"/>
        </w:rPr>
        <w:t xml:space="preserve">, Lyria Bennett Moses y George Williams, </w:t>
      </w:r>
      <w:r>
        <w:t>The Rule of Law and Automation of Government Decision-Making</w:t>
      </w:r>
      <w:r>
        <w:rPr>
          <w:rFonts w:ascii="Times New Roman" w:hAnsi="Times New Roman" w:cs="Times New Roman"/>
        </w:rPr>
        <w:t xml:space="preserve">, 82(3) Modern Law Review 425-455 (2019) («impacto </w:t>
      </w:r>
      <w:r>
        <w:t>sobre</w:t>
      </w:r>
      <w:r>
        <w:rPr>
          <w:rFonts w:ascii="Times New Roman" w:hAnsi="Times New Roman" w:cs="Times New Roman"/>
        </w:rPr>
        <w:t xml:space="preserve"> los valores del </w:t>
      </w:r>
      <w:r>
        <w:t>Estado</w:t>
      </w:r>
      <w:r>
        <w:rPr>
          <w:rFonts w:ascii="Times New Roman" w:hAnsi="Times New Roman" w:cs="Times New Roman"/>
        </w:rPr>
        <w:t xml:space="preserve"> de derecho de la automatización </w:t>
      </w:r>
      <w:r>
        <w:t>mediante</w:t>
      </w:r>
      <w:r>
        <w:rPr>
          <w:rFonts w:ascii="Times New Roman" w:hAnsi="Times New Roman" w:cs="Times New Roman"/>
        </w:rPr>
        <w:t xml:space="preserve">: (1) reglas preprogramadas (por ejemplo, sistemas expertos); y (2) </w:t>
      </w:r>
      <w:r>
        <w:t>inferencia predictiva, en la que</w:t>
      </w:r>
      <w:r>
        <w:rPr>
          <w:rFonts w:ascii="Times New Roman" w:hAnsi="Times New Roman" w:cs="Times New Roman"/>
        </w:rPr>
        <w:t xml:space="preserve"> las reglas se derivan de datos históricos»).</w:t>
      </w:r>
    </w:p>
  </w:footnote>
  <w:footnote w:id="126">
    <w:p w:rsidR="003D5A83" w:rsidRDefault="00000000" w14:paraId="5E001166" w14:textId="77777777">
      <w:pPr>
        <w:pStyle w:val="FootnoteText"/>
      </w:pPr>
      <w:r>
        <w:rPr>
          <w:rStyle w:val="FootnoteReference"/>
        </w:rPr>
        <w:footnoteRef/>
      </w:r>
      <w:r>
        <w:t xml:space="preserve"> La divergencia no es hipotética. Los compiladores optimizadores descartan habitualmente código cuyo comportamiento queda indefinido por el estándar del lenguaje, incluyendo verificaciones de seguridad que el programador pretendía imponer; un estudio identificó 160 errores de este tipo, posteriormente confirmados y corregidos por los desarrolladores, en sistemas ampliamente utilizados, incluido el núcleo de Linux. Xi Wang, Nickolai Zeldovich, M. Frans Kaashoek y Armando Solar-Lezama, </w:t>
      </w:r>
      <w:r>
        <w:rPr>
          <w:i/>
          <w:iCs/>
        </w:rPr>
        <w:t xml:space="preserve">«Towards Optimization-Safe Systems: Analyzing the Impact of Undefined Behavior</w:t>
      </w:r>
      <w:r>
        <w:t xml:space="preserve">», </w:t>
      </w:r>
      <w:r>
        <w:rPr>
          <w:i/>
          <w:iCs/>
        </w:rPr>
        <w:t xml:space="preserve">en </w:t>
      </w:r>
      <w:r>
        <w:rPr>
          <w:smallCaps/>
        </w:rPr>
        <w:t xml:space="preserve">Actas del 24.º Simposio de la ACM sobre Principios de Sistemas Operativos </w:t>
      </w:r>
      <w:r>
        <w:t xml:space="preserve">(2013), https://doi.org/10.1145/2517349.2522728. El contexto de la cadena de bloques ofrece un ejemplo aún más claro. Un defecto en las versiones 0.2.15, 0.2.16 y 0.3.0 del </w:t>
      </w:r>
      <w:r>
        <w:t xml:space="preserve">compilador de contratos inteligentes </w:t>
      </w:r>
      <w:r>
        <w:t xml:space="preserve">Vyper </w:t>
      </w:r>
      <w:r>
        <w:t xml:space="preserve">asignaba incorrectamente los bloqueos de reentrancia, de modo que los contratos cuyo código fuente protegía contra la reentrancia se compilaban sin esa protección. Los </w:t>
      </w:r>
      <w:r>
        <w:t>exploits contra</w:t>
      </w:r>
      <w:r>
        <w:t xml:space="preserve"> los </w:t>
      </w:r>
      <w:r>
        <w:t>pools</w:t>
      </w:r>
      <w:r>
        <w:t xml:space="preserve"> afectados en Curve Finance y en otros lugares en julio de 2023 causaron pérdidas estimadas inicialmente en unos 70 millones de dólares. </w:t>
      </w:r>
      <w:r>
        <w:rPr>
          <w:i/>
          <w:iCs/>
        </w:rPr>
        <w:t xml:space="preserve">Véase </w:t>
      </w:r>
      <w:r>
        <w:t xml:space="preserve">la Base de datos de alertas de GitHub, GHSA-5824-cm3x-3c38 (CVE-2023-39363) (9 de agosto de 2023), https://github.com/advisories/GHSA-5824-cm3x-3c38; </w:t>
      </w:r>
      <w:r>
        <w:t xml:space="preserve">Halborn</w:t>
      </w:r>
      <w:r>
        <w:t xml:space="preserve">, </w:t>
      </w:r>
      <w:r>
        <w:rPr>
          <w:i/>
          <w:iCs/>
        </w:rPr>
        <w:t xml:space="preserve">«Explained: The </w:t>
      </w:r>
      <w:r>
        <w:rPr>
          <w:i/>
          <w:iCs/>
        </w:rPr>
        <w:t xml:space="preserve">Vyper </w:t>
      </w:r>
      <w:r>
        <w:rPr>
          <w:i/>
          <w:iCs/>
        </w:rPr>
        <w:t xml:space="preserve">Bug Hack» (julio de 2023)</w:t>
      </w:r>
      <w:r>
        <w:t xml:space="preserve">, https://www.halborn.com/blog/post/explained-the-vyper-bug-hack-july-2023. El código fuente reflejaba la intención de sus autores. El contrato compilado hacía algo diferente, y la cadena ejecutó el contrato compilado.</w:t>
      </w:r>
    </w:p>
  </w:footnote>
  <w:footnote w:id="127">
    <w:p w:rsidR="004817E5" w:rsidRDefault="00000000" w14:paraId="4EAD6FBC"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Mireille Hildebrandt, </w:t>
      </w:r>
      <w:r>
        <w:t>Algorithmic</w:t>
      </w:r>
      <w:r>
        <w:rPr>
          <w:rFonts w:ascii="Times New Roman" w:hAnsi="Times New Roman" w:cs="Times New Roman"/>
        </w:rPr>
        <w:t xml:space="preserve"> Regulation and the Rule of </w:t>
      </w:r>
      <w:r>
        <w:t>Law</w:t>
      </w:r>
      <w:r>
        <w:rPr>
          <w:rFonts w:ascii="Times New Roman" w:hAnsi="Times New Roman" w:cs="Times New Roman"/>
        </w:rPr>
        <w:t xml:space="preserve">, 376 (2128) Philosophical Transactions A 20170355 (2018); disponible en [https://doi.org/10.1098/rsta.2017.0355] </w:t>
      </w:r>
      <w:r>
        <w:t>(distingue</w:t>
      </w:r>
      <w:r>
        <w:rPr>
          <w:rFonts w:ascii="Times New Roman" w:hAnsi="Times New Roman" w:cs="Times New Roman"/>
        </w:rPr>
        <w:t xml:space="preserve"> entre la regulación cibernética</w:t>
      </w:r>
      <w:r>
        <w:t>,</w:t>
      </w:r>
      <w:r>
        <w:rPr>
          <w:rFonts w:ascii="Times New Roman" w:hAnsi="Times New Roman" w:cs="Times New Roman"/>
        </w:rPr>
        <w:t xml:space="preserve"> </w:t>
      </w:r>
      <w:r>
        <w:t>todo</w:t>
      </w:r>
      <w:r>
        <w:rPr>
          <w:rFonts w:ascii="Times New Roman" w:hAnsi="Times New Roman" w:cs="Times New Roman"/>
        </w:rPr>
        <w:t xml:space="preserve"> intento de influir en </w:t>
      </w:r>
      <w:r>
        <w:t>la conducta</w:t>
      </w:r>
      <w:r>
        <w:rPr>
          <w:rFonts w:ascii="Times New Roman" w:hAnsi="Times New Roman" w:cs="Times New Roman"/>
        </w:rPr>
        <w:t xml:space="preserve"> de una </w:t>
      </w:r>
      <w:r>
        <w:t>población,</w:t>
      </w:r>
      <w:r>
        <w:rPr>
          <w:rFonts w:ascii="Times New Roman" w:hAnsi="Times New Roman" w:cs="Times New Roman"/>
        </w:rPr>
        <w:t xml:space="preserve"> y la regulación </w:t>
      </w:r>
      <w:r>
        <w:t>jurídica, la</w:t>
      </w:r>
      <w:r>
        <w:rPr>
          <w:rFonts w:ascii="Times New Roman" w:hAnsi="Times New Roman" w:cs="Times New Roman"/>
        </w:rPr>
        <w:t xml:space="preserve"> representación textual de la autoridad política sobre personas, cosas, procesos, etc., por parte de una autoridad políticamente </w:t>
      </w:r>
      <w:r>
        <w:t>competente).</w:t>
      </w:r>
    </w:p>
  </w:footnote>
  <w:footnote w:id="128">
    <w:p w:rsidR="00890F2E" w:rsidRDefault="00890F2E" w14:paraId="20E35A4B" w14:textId="69FBF54C">
      <w:pPr>
        <w:pStyle w:val="FootnoteText"/>
      </w:pPr>
      <w:r>
        <w:rPr>
          <w:rStyle w:val="FootnoteReference"/>
        </w:rPr>
        <w:footnoteRef/>
      </w:r>
      <w:r>
        <w:fldChar w:fldCharType="begin"/>
      </w:r>
      <w:r>
        <w:instrText xml:space="preserve"> ADDIN ZOTERO_ITEM CSL_CITATION {"citationID":"Spbuby2u","properties":{"formattedCitation":"{\\scaps Brian Christian}, {\\scaps The Alignment Problem: Machine Learning and Human Values} (2020).","plainCitation":"Brian Christian, The Alignment Problem: Machine Learning and Human Values (2020).","noteIndex":58},"citationItems":[{"id":201,"uris":["http://zotero.org/users/20142566/items/6QCD5DZR"],"itemData":{"id":201,"type":"book","abstract":"\"If you’re going to read one book on artificial intelligence, this is the one.\" —Stephen Marche, New York Times  A jaw-dropping exploration of everything that goes wrong when we build AI systems and the movement to fix them. Today’s “machine-learning” systems, trained by data, are so effective that we’ve invited them to see and hear for us—and to make decisions on our behalf. But alarm bells are ringing. Recent years have seen an eruption of concern as the field of machine learning advances. When the systems we attempt to teach will not, in the end, do what we want or what we expect, ethical and potentially existential risks emerge. Researchers call this the alignment problem. Systems cull résumés until, years later, we discover that they have inherent gender biases. Algorithms decide bail and parole—and appear to assess Black and White defendants differently. We can no longer assume that our mortgage application, or even our medical tests, will be seen by human eyes. And as autonomous vehicles share our streets, we are increasingly putting our lives in their hands. The mathematical and computational models driving these changes range in complexity from something that can fit on a spreadsheet to a complex system that might credibly be called “artificial intelligence.” They are steadily replacing both human judgment and explicitly programmed software. In best-selling author Brian Christian’s riveting account, we meet the alignment problem’s “first-responders,” and learn their ambitious plan to solve it before our hands are completely off the wheel. In a masterful blend of history and on-the ground reporting, Christian traces the explosive growth in the field of machine learning and surveys its current, sprawling frontier. Readers encounter a discipline finding its legs amid exhilarating and sometimes terrifying progress. Whether they—and we—succeed or fail in solving the alignment problem will be a defining human story. The Alignment Problem offers an unflinching reckoning with humanity’s biases and blind spots, our own unstated assumptions and often contradictory goals. A dazzlingly interdisciplinary work, it takes a hard look not only at our technology but at our culture—and finds a story by turns harrowing and hopeful.","ISBN":"978-0-393-63583-6","language":"en","note":"Google-Books-ID: Lh_WDwAAQBAJ","number-of-pages":"461","publisher":"W. W. Norton &amp; Company","source":"Google Books","title":"The Alignment Problem: Machine Learning and Human Values","title-short":"The Alignment Problem","author":[{"family":"Christian","given":"Brian"}],"issued":{"date-parts":[["2020",10,6]]}}}],"schema":"https://github.com/citation-style-language/schema/raw/master/csl-citation.json"} </w:instrText>
      </w:r>
      <w:r>
        <w:fldChar w:fldCharType="separate"/>
      </w:r>
      <w:r w:rsidRPr="00890F2E">
        <w:rPr>
          <w:rFonts w:cs="Times New Roman"/>
          <w:smallCaps/>
          <w:kern w:val="0"/>
        </w:rPr>
        <w:t xml:space="preserve"> Brian Christian</w:t>
      </w:r>
      <w:r>
        <w:rPr>
          <w:rFonts w:cs="Times New Roman"/>
          <w:kern w:val="0"/>
        </w:rPr>
        <w:t>,</w:t>
      </w:r>
      <w:r>
        <w:rPr>
          <w:rFonts w:cs="Times New Roman"/>
          <w:smallCaps/>
          <w:kern w:val="0"/>
        </w:rPr>
        <w:t xml:space="preserve"> </w:t>
      </w:r>
      <w:r>
        <w:t>The Alignment Problem</w:t>
      </w:r>
      <w:r>
        <w:rPr>
          <w:rFonts w:cs="Times New Roman"/>
          <w:smallCaps/>
          <w:kern w:val="0"/>
        </w:rPr>
        <w:t xml:space="preserve">: </w:t>
      </w:r>
      <w:r>
        <w:t>Machine Learning and Human Values</w:t>
      </w:r>
      <w:r w:rsidRPr="00890F2E">
        <w:rPr>
          <w:rFonts w:cs="Times New Roman"/>
          <w:kern w:val="0"/>
        </w:rPr>
        <w:t xml:space="preserve"> (2020).</w:t>
      </w:r>
      <w:r>
        <w:fldChar w:fldCharType="end"/>
      </w:r>
    </w:p>
  </w:footnote>
  <w:footnote w:id="129">
    <w:p w:rsidR="00133890" w:rsidRDefault="00133890" w14:paraId="68D72277" w14:textId="0F7D1272">
      <w:pPr>
        <w:pStyle w:val="FootnoteText"/>
      </w:pPr>
      <w:r>
        <w:rPr>
          <w:rStyle w:val="FootnoteReference"/>
        </w:rPr>
        <w:footnoteRef/>
      </w:r>
      <w:r>
        <w:fldChar w:fldCharType="begin"/>
      </w:r>
      <w:r>
        <w:instrText xml:space="preserve"> ADDIN ZOTERO_ITEM CSL_CITATION {"citationID":"R9fmEpzH","properties":{"formattedCitation":"M. O. Rabin &amp; D. Scott, {\\i{}Finite Automata and Their Decision Problems}, 3 {\\scaps IBM J. Res. Dev.} 114 (1959).","plainCitation":"M. O. Rabin &amp; D. Scott, Finite Automata and Their Decision Problems, 3 IBM J. Res. Dev. 114 (1959).","noteIndex":62},"citationItems":[{"id":210,"uris":["http://zotero.org/users/20142566/items/KVWGC5IM"],"itemData":{"id":210,"type":"article-journal","abstract":"Finite automata are considered in this paper as instruments for classifying finite tapes. Each one-tape automaton defines a set of tapes, a two-tape automaton defines a set of pairs of tapes, et cetera. The structure of the defined sets is studied. Various generalizations of the notion of an automaton are introduced and their relation to the classical automata is determined. Some decision problems concerning automata are shown to be solvable by effective algorithms; others turn out to be unsolvable by algorithms.","container-title":"IBM Journal of Research and Development","DOI":"10.1147/rd.32.0114","ISSN":"0018-8646","issue":"2","page":"114-125","source":"IEEE Xplore","title":"Finite Automata and Their Decision Problems","volume":"3","author":[{"family":"Rabin","given":"M. O."},{"family":"Scott","given":"D."}],"issued":{"date-parts":[["1959",4]]}}}],"schema":"https://github.com/citation-style-language/schema/raw/master/csl-citation.json"} </w:instrText>
      </w:r>
      <w:r>
        <w:fldChar w:fldCharType="separate"/>
      </w:r>
      <w:r w:rsidRPr="00133890">
        <w:rPr>
          <w:rFonts w:cs="Times New Roman"/>
          <w:kern w:val="0"/>
        </w:rPr>
        <w:t xml:space="preserve"> M. O. Rabin y D. Scott, </w:t>
      </w:r>
      <w:r>
        <w:t>Finite Automata and Their Decision Problems</w:t>
      </w:r>
      <w:r>
        <w:rPr>
          <w:rFonts w:cs="Times New Roman"/>
          <w:kern w:val="0"/>
        </w:rPr>
        <w:t>, 3</w:t>
      </w:r>
      <w:r>
        <w:t xml:space="preserve"> </w:t>
      </w:r>
      <w:r>
        <w:rPr>
          <w:rFonts w:cs="Times New Roman"/>
          <w:smallCaps/>
          <w:kern w:val="0"/>
        </w:rPr>
        <w:t>IBM J. Res. Dev.</w:t>
      </w:r>
      <w:r w:rsidRPr="00133890">
        <w:rPr>
          <w:rFonts w:cs="Times New Roman"/>
          <w:kern w:val="0"/>
        </w:rPr>
        <w:t xml:space="preserve"> 114 (1959).</w:t>
      </w:r>
      <w:r>
        <w:fldChar w:fldCharType="end"/>
      </w:r>
    </w:p>
  </w:footnote>
  <w:footnote w:id="130">
    <w:p w:rsidR="00C04038" w:rsidRDefault="00C04038" w14:paraId="418DC9EA" w14:textId="4DD51DDD">
      <w:pPr>
        <w:pStyle w:val="FootnoteText"/>
      </w:pPr>
      <w:r>
        <w:rPr>
          <w:rStyle w:val="FootnoteReference"/>
        </w:rPr>
        <w:footnoteRef/>
      </w:r>
      <w:r>
        <w:fldChar w:fldCharType="begin"/>
      </w:r>
      <w:r>
        <w:instrText xml:space="preserve"> ADDIN ZOTERO_ITEM CSL_CITATION {"citationID":"1yBLctWb","properties":{"formattedCitation":"See Mike Isaac &amp; Erin Griffith, {\\i{}The Big Bang: A.I. Has Created a Code Overload}, {\\scaps The New York Times}, Apr. 6, 2026, https://www.nytimes.com/2026/04/06/technology/ai-code-overload.html.","plainCitation":"See Mike Isaac &amp; Erin Griffith, The Big Bang: A.I. Has Created a Code Overload, The New York Times, Apr. 6, 2026, https://www.nytimes.com/2026/04/06/technology/ai-code-overload.html.","noteIndex":49},"citationItems":[{"id":78,"uris":["http://zotero.org/users/20142566/items/PP2Z33MN"],"itemData":{"id":78,"type":"article-newspaper","abstract":"Companies are scrambling to deal with the glut.","container-title":"The New York Times","ISSN":"0362-4331","language":"en-US","section":"Technology","source":"NYTimes.com","title":"The Big Bang: A.I. Has Created a Code Overload","title-short":"The Big Bang","URL":"https://www.nytimes.com/2026/04/06/technology/ai-code-overload.html","author":[{"family":"Isaac","given":"Mike"},{"family":"Griffith","given":"Erin"}],"accessed":{"date-parts":[["2026",4,9]]},"issued":{"date-parts":[["2026",4,6]]}},"prefix":"See"}],"schema":"https://github.com/citation-style-language/schema/raw/master/csl-citation.json"} </w:instrText>
      </w:r>
      <w:r>
        <w:fldChar w:fldCharType="separate"/>
      </w:r>
      <w:r w:rsidRPr="00C04038">
        <w:rPr>
          <w:rFonts w:cs="Times New Roman"/>
          <w:kern w:val="0"/>
        </w:rPr>
        <w:t xml:space="preserve"> Véase Mike Isaac y Erin Griffith, </w:t>
      </w:r>
      <w:r>
        <w:t>The</w:t>
      </w:r>
      <w:r>
        <w:rPr>
          <w:rFonts w:cs="Times New Roman"/>
          <w:i/>
          <w:iCs/>
          <w:kern w:val="0"/>
        </w:rPr>
        <w:t xml:space="preserve"> Big Bang: </w:t>
      </w:r>
      <w:r>
        <w:t>A.I. Has Created a Code Overload, The New</w:t>
      </w:r>
      <w:r>
        <w:rPr>
          <w:rFonts w:cs="Times New Roman"/>
          <w:kern w:val="0"/>
        </w:rPr>
        <w:t xml:space="preserve"> </w:t>
      </w:r>
      <w:r>
        <w:t>York Times</w:t>
      </w:r>
      <w:r w:rsidRPr="00C04038">
        <w:rPr>
          <w:rFonts w:cs="Times New Roman"/>
          <w:kern w:val="0"/>
        </w:rPr>
        <w:t xml:space="preserve">, 6 de abril de 2026, https://www.nytimes.com/2026/04/06/technology/ai-code-overload.html.</w:t>
      </w:r>
      <w:r>
        <w:fldChar w:fldCharType="end"/>
      </w:r>
    </w:p>
  </w:footnote>
  <w:footnote w:id="131">
    <w:p w:rsidR="00ED648A" w:rsidRDefault="00ED648A" w14:paraId="31696CDE" w14:textId="351DC8E0">
      <w:pPr>
        <w:pStyle w:val="FootnoteText"/>
      </w:pPr>
      <w:r>
        <w:rPr>
          <w:rStyle w:val="FootnoteReference"/>
        </w:rPr>
        <w:footnoteRef/>
      </w:r>
      <w:r>
        <w:fldChar w:fldCharType="begin"/>
      </w:r>
      <w:r w:rsidR="00C04038">
        <w:instrText xml:space="preserve"> ADDIN ZOTERO_ITEM CSL_CITATION {"citationID":"sjSsPeTj","properties":{"formattedCitation":"Natalia Buitron &amp; Hans Steinm\\uc0\\u252{}ller, {\\i{}Governing Opacity: Regimes of Intention Management and Tools of Legibility}, 88 {\\scaps Ethnos} 677 (2023).","plainCitation":"Natalia Buitron &amp; Hans Steinmüller, Governing Opacity: Regimes of Intention Management and Tools of Legibility, 88 Ethnos 677 (2023).","noteIndex":50},"citationItems":[{"id":146,"uris":["http://zotero.org/users/20142566/items/YKXEZ8Q6"],"itemData":{"id":146,"type":"article-journal","abstract":"The intentions of others are ultimately opaque: we can never know exactly the mind of someone else. Yet humans continually attempt to ‘read’ the mental states of others and throughout history have created institutions that attempt to do so by managing intentions and thus addressing the opacity of other minds. The contributors of this special issue argue that the form in which we meet the fundamental challenge of the opacity of mind is decisive for the kinds of government we are able to imagine. Our introduction provides the framework for the exploration of the correlations between the management of opacity and the forms of government humans create. We draw attention to different ways of creating legibility, and corresponding practices of accountability, thus linking particular forms of intention management with particular ways of doing and imagining politics.","container-title":"Ethnos","DOI":"10.1080/00141844.2021.2007154","ISSN":"0014-1844","issue":"4","note":"_eprint: https://doi.org/10.1080/00141844.2021.2007154","page":"677-701","publisher":"Routledge","source":"Taylor and Francis+NEJM","title":"Governing Opacity: Regimes of Intention Management and Tools of Legibility","title-short":"Governing Opacity","volume":"88","author":[{"family":"Buitron","given":"Natalia"},{"family":"Steinmüller","given":"Hans"}],"issued":{"date-parts":[["2023",8,8]]}}}],"schema":"https://github.com/citation-style-language/schema/raw/master/csl-citation.json"} </w:instrText>
      </w:r>
      <w:r>
        <w:fldChar w:fldCharType="separate"/>
      </w:r>
      <w:r w:rsidRPr="00ED648A">
        <w:rPr>
          <w:rFonts w:cs="Times New Roman"/>
          <w:kern w:val="0"/>
          <w:lang w:bidi="yi-Hebr"/>
        </w:rPr>
        <w:t xml:space="preserve"> Natalia Buitron y Hans Steinmüller, </w:t>
      </w:r>
      <w:r>
        <w:t>Governing Opacity</w:t>
      </w:r>
      <w:r>
        <w:rPr>
          <w:rFonts w:cs="Times New Roman"/>
          <w:i/>
          <w:iCs/>
          <w:kern w:val="0"/>
          <w:lang w:bidi="yi-Hebr"/>
        </w:rPr>
        <w:t xml:space="preserve">: </w:t>
      </w:r>
      <w:r>
        <w:t>Regimes of Intention Management and Tools of Legibility</w:t>
      </w:r>
      <w:r>
        <w:rPr>
          <w:rFonts w:cs="Times New Roman"/>
          <w:kern w:val="0"/>
          <w:lang w:bidi="yi-Hebr"/>
        </w:rPr>
        <w:t>, 88</w:t>
      </w:r>
      <w:r>
        <w:t xml:space="preserve"> Ethnos </w:t>
      </w:r>
      <w:r>
        <w:rPr>
          <w:rFonts w:cs="Times New Roman"/>
          <w:kern w:val="0"/>
          <w:lang w:bidi="yi-Hebr"/>
        </w:rPr>
        <w:t>677 (2023).</w:t>
      </w:r>
      <w:r>
        <w:fldChar w:fldCharType="end"/>
      </w:r>
      <w:r>
        <w:t xml:space="preserve"> </w:t>
      </w:r>
      <w:r>
        <w:rPr>
          <w:i/>
          <w:iCs/>
        </w:rPr>
        <w:t xml:space="preserve">Véase, en general</w:t>
      </w:r>
      <w:r>
        <w:rPr>
          <w:smallCaps/>
        </w:rPr>
        <w:t xml:space="preserve">, James C. Scott, </w:t>
      </w:r>
      <w:r>
        <w:t>Seeing Like a State</w:t>
      </w:r>
      <w:r>
        <w:rPr>
          <w:smallCaps/>
        </w:rPr>
        <w:t xml:space="preserve">: </w:t>
      </w:r>
      <w:r>
        <w:t>How Certain Schemes to Improve the Human Condition Have Failed</w:t>
      </w:r>
      <w:r>
        <w:t xml:space="preserve"> (1998) (la legibilidad como</w:t>
      </w:r>
      <w:r>
        <w:t xml:space="preserve"> problema central del arte de gobernar).</w:t>
      </w:r>
    </w:p>
  </w:footnote>
  <w:footnote w:id="132">
    <w:p w:rsidRPr="00FA1982" w:rsidR="004817E5" w:rsidRDefault="00000000" w14:paraId="6EA46B0B" w14:textId="77777777">
      <w:pPr>
        <w:pStyle w:val="FootnoteText"/>
        <w:rPr>
          <w:rFonts w:ascii="Times New Roman" w:hAnsi="Times New Roman" w:cs="Times New Roman"/>
          <w:lang w:val="fr-FR"/>
        </w:rPr>
      </w:pPr>
      <w:r>
        <w:rPr>
          <w:rStyle w:val="FootnoteReference"/>
          <w:rFonts w:ascii="Times New Roman" w:hAnsi="Times New Roman" w:cs="Times New Roman"/>
        </w:rPr>
        <w:footnoteRef/>
      </w:r>
      <w:r>
        <w:rPr>
          <w:rFonts w:ascii="Times New Roman" w:hAnsi="Times New Roman" w:cs="Times New Roman"/>
        </w:rPr>
        <w:t xml:space="preserve"> </w:t>
      </w:r>
      <w:r>
        <w:t>Considérese</w:t>
      </w:r>
      <w:r>
        <w:rPr>
          <w:rFonts w:ascii="Times New Roman" w:hAnsi="Times New Roman" w:cs="Times New Roman"/>
        </w:rPr>
        <w:t xml:space="preserve"> Caja Thimm, Gabriele Grameslsberger, Maximillian Mayer y Frank Piller, </w:t>
      </w:r>
      <w:r>
        <w:t>From Automation to Autonomy</w:t>
      </w:r>
      <w:r>
        <w:rPr>
          <w:rFonts w:ascii="Times New Roman" w:hAnsi="Times New Roman" w:cs="Times New Roman"/>
          <w:i/>
          <w:iCs/>
        </w:rPr>
        <w:t xml:space="preserve">: </w:t>
      </w:r>
      <w:r>
        <w:t>Human Machine Relations in the Age of Artificial Intelligence</w:t>
      </w:r>
      <w:r>
        <w:rPr>
          <w:rFonts w:ascii="Times New Roman" w:hAnsi="Times New Roman" w:cs="Times New Roman"/>
        </w:rPr>
        <w:t xml:space="preserve">, 9 </w:t>
      </w:r>
      <w:r>
        <w:rPr>
          <w:rFonts w:ascii="Times New Roman" w:hAnsi="Times New Roman" w:cs="Times New Roman"/>
          <w:smallCaps/>
        </w:rPr>
        <w:t xml:space="preserve">Human-Machine </w:t>
      </w:r>
      <w:r>
        <w:rPr>
          <w:rFonts w:ascii="Times New Roman" w:hAnsi="Times New Roman" w:cs="Times New Roman"/>
          <w:smallCaps/>
        </w:rPr>
        <w:t xml:space="preserve">Communication</w:t>
      </w:r>
      <w:r>
        <w:rPr>
          <w:rFonts w:ascii="Times New Roman" w:hAnsi="Times New Roman" w:cs="Times New Roman"/>
        </w:rPr>
        <w:t xml:space="preserve"> 7-24 (2024) (la autonomía como concepto gradual, relacional y </w:t>
      </w:r>
      <w:r>
        <w:t>atributivo</w:t>
      </w:r>
      <w:r>
        <w:rPr>
          <w:rFonts w:ascii="Times New Roman" w:hAnsi="Times New Roman" w:cs="Times New Roman"/>
        </w:rPr>
        <w:t xml:space="preserve">); Chinedu Pascal Ezenkwu y Andrew Starkey, </w:t>
      </w:r>
      <w:r>
        <w:t>Machine Autonomy</w:t>
      </w:r>
      <w:r>
        <w:rPr>
          <w:rFonts w:ascii="Times New Roman" w:hAnsi="Times New Roman" w:cs="Times New Roman"/>
          <w:i/>
          <w:iCs/>
        </w:rPr>
        <w:t xml:space="preserve">: </w:t>
      </w:r>
      <w:r>
        <w:t>Definition</w:t>
      </w:r>
      <w:r>
        <w:rPr>
          <w:rFonts w:ascii="Times New Roman" w:hAnsi="Times New Roman" w:cs="Times New Roman"/>
          <w:i/>
          <w:iCs/>
        </w:rPr>
        <w:t xml:space="preserve">, </w:t>
      </w:r>
      <w:r>
        <w:t>Approaches</w:t>
      </w:r>
      <w:r>
        <w:rPr>
          <w:rFonts w:ascii="Times New Roman" w:hAnsi="Times New Roman" w:cs="Times New Roman"/>
          <w:i/>
          <w:iCs/>
        </w:rPr>
        <w:t xml:space="preserve">, </w:t>
      </w:r>
      <w:r>
        <w:t>Challenges and Research Gaps</w:t>
      </w:r>
      <w:r>
        <w:rPr>
          <w:rFonts w:ascii="Times New Roman" w:hAnsi="Times New Roman" w:cs="Times New Roman"/>
        </w:rPr>
        <w:t>, en</w:t>
      </w:r>
      <w:r>
        <w:rPr>
          <w:rFonts w:ascii="Times New Roman" w:hAnsi="Times New Roman" w:cs="Times New Roman"/>
        </w:rPr>
        <w:t xml:space="preserve"> </w:t>
      </w:r>
      <w:r>
        <w:rPr>
          <w:rFonts w:ascii="Times New Roman" w:hAnsi="Times New Roman" w:cs="Times New Roman"/>
          <w:smallCaps/>
        </w:rPr>
        <w:t xml:space="preserve">Intelligent </w:t>
      </w:r>
      <w:r>
        <w:rPr>
          <w:rFonts w:ascii="Times New Roman" w:hAnsi="Times New Roman" w:cs="Times New Roman"/>
          <w:smallCaps/>
        </w:rPr>
        <w:t xml:space="preserve">Computing </w:t>
      </w:r>
      <w:r>
        <w:rPr>
          <w:rFonts w:ascii="Times New Roman" w:hAnsi="Times New Roman" w:cs="Times New Roman"/>
        </w:rPr>
        <w:t>(Arai, K., Bhatia, R., Kapoor, S</w:t>
      </w:r>
      <w:r>
        <w:t>., eds.,</w:t>
      </w:r>
      <w:r>
        <w:rPr>
          <w:rFonts w:ascii="Times New Roman" w:hAnsi="Times New Roman" w:cs="Times New Roman"/>
        </w:rPr>
        <w:t xml:space="preserve"> </w:t>
      </w:r>
      <w:r>
        <w:rPr>
          <w:rFonts w:ascii="Times New Roman" w:hAnsi="Times New Roman" w:cs="Times New Roman"/>
        </w:rPr>
        <w:t xml:space="preserve">CompCom</w:t>
      </w:r>
      <w:r>
        <w:rPr>
          <w:rFonts w:ascii="Times New Roman" w:hAnsi="Times New Roman" w:cs="Times New Roman"/>
        </w:rPr>
        <w:t>, 2019</w:t>
      </w:r>
      <w:r>
        <w:t>).</w:t>
      </w:r>
      <w:r>
        <w:rPr>
          <w:rFonts w:ascii="Times New Roman" w:hAnsi="Times New Roman" w:cs="Times New Roman"/>
        </w:rPr>
        <w:t xml:space="preserve"> </w:t>
      </w:r>
      <w:r w:rsidRPr="00FA1982">
        <w:rPr>
          <w:rFonts w:ascii="Times New Roman" w:hAnsi="Times New Roman" w:cs="Times New Roman"/>
          <w:lang w:val="fr-FR"/>
        </w:rPr>
        <w:t xml:space="preserve">Disponible </w:t>
      </w:r>
      <w:r>
        <w:rPr>
          <w:rFonts w:ascii="Times New Roman" w:hAnsi="Times New Roman" w:cs="Times New Roman"/>
          <w:lang w:val="fr-FR"/>
        </w:rPr>
        <w:t>en</w:t>
      </w:r>
      <w:r>
        <w:rPr>
          <w:rFonts w:ascii="Times New Roman" w:hAnsi="Times New Roman" w:cs="Times New Roman"/>
          <w:lang w:val="fr-FR"/>
        </w:rPr>
        <w:t xml:space="preserve"> https://doi.org/10.1007/978-3-030-22871-2_24.</w:t>
      </w:r>
    </w:p>
  </w:footnote>
  <w:footnote w:id="133">
    <w:p w:rsidRPr="00FA1982" w:rsidR="0005150F" w:rsidRDefault="0005150F" w14:paraId="11BB706D" w14:textId="03B2483B">
      <w:pPr>
        <w:pStyle w:val="FootnoteText"/>
        <w:rPr>
          <w:lang w:val="fr-FR"/>
        </w:rPr>
      </w:pPr>
      <w:r>
        <w:rPr>
          <w:rStyle w:val="FootnoteReference"/>
        </w:rPr>
        <w:footnoteRef/>
      </w:r>
      <w:r>
        <w:fldChar w:fldCharType="begin"/>
      </w:r>
      <w:r w:rsidRPr="00FA1982" w:rsidR="00C04038">
        <w:rPr>
          <w:lang w:val="fr-FR"/>
        </w:rPr>
        <w:instrText xml:space="preserve"> ADDIN ZOTERO_ITEM CSL_CITATION {"citationID":"gXFbg6Vv","properties":{"formattedCitation":"Ronald M. Kaplan et al., {\\i{}Translation by Structural Correspondences}, {\\i{}in} {\\scaps Proceedings of the fourth conference on European chapter of the Association for Computational Linguistics  -} 272 (1989), http://portal.acm.org/citation.cfm?doid=976815.976852; Louisa Sadler &amp; Henry S. Thompson, {\\i{}Structural Non-Correspondence in Translation}, {\\i{}in} {\\scaps Proceedings of the fifth conference on European chapter of the Association for Computational Linguistics  -} 293 (1991), http://portal.acm.org/citation.cfm?doid=977180.977231.","plainCitation":"Ronald M. Kaplan et al., Translation by Structural Correspondences, in Proceedings of the fourth conference on European chapter of the Association for Computational Linguistics  - 272 (1989), http://portal.acm.org/citation.cfm?doid=976815.976852; Louisa Sadler &amp; Henry S. Thompson, Structural Non-Correspondence in Translation, in Proceedings of the fifth conference on European chapter of the Association for Computational Linguistics  - 293 (1991), http://portal.acm.org/citation.cfm?doid=977180.977231.","noteIndex":51},"citationItems":[{"id":143,"uris":["http://zotero.org/users/20142566/items/WS4D6FKT"],"itemData":{"id":143,"type":"paper-conference","container-title":"Proceedings of the fourth conference on European chapter of the Association for Computational Linguistics  -","DOI":"10.3115/976815.976852","event-title":"the fourth conference","language":"en","page":"272-281","publisher":"Association for Computational Linguistics","publisher-place":"Manchester, England","source":"DOI.org (Crossref)","title":"Translation by structural correspondences","URL":"http://portal.acm.org/citation.cfm?doid=976815.976852","author":[{"family":"Kaplan","given":"Ronald M."},{"family":"Netter","given":"Klaus"},{"family":"Wedekind","given":"Jürgen"},{"family":"Zaenen","given":"Annie"}],"accessed":{"date-parts":[["2026",4,13]]},"issued":{"date-parts":[["1989"]]}}},{"id":145,"uris":["http://zotero.org/users/20142566/items/WJIXFA47"],"itemData":{"id":145,"type":"paper-conference","abstract":"Kaplan et al (1989) present an approach to machine translation based on co-description. In this paper we show that the notation is not as natural and expressive as it appears. We first show that the most natural analysis proposed in Kaplan et al (1989) cannot in fact cover the range of data for the important translational phenomenon in question. This contribution extends the work reported on in Sadler et al (1989) and Sadler et al (1990). We then go on to discuss alternatives which depart from or extend the formalism proposed in Kaplan et al (1989) in various respects, pointing out some directions for further research. The strategies discussed have been implemented.","container-title":"Proceedings of the fifth conference on European chapter of the Association for Computational Linguistics  -","DOI":"10.3115/977180.977231","event-title":"the fifth conference","language":"en","page":"293-298","publisher":"Association for Computational Linguistics","publisher-place":"Berlin, Germany","source":"DOI.org (Crossref)","title":"Structural non-correspondence in translation","URL":"http://portal.acm.org/citation.cfm?doid=977180.977231","author":[{"family":"Sadler","given":"Louisa"},{"family":"Thompson","given":"Henry S."}],"accessed":{"date-parts":[["2026",4,13]]},"issued":{"date-parts":[["1991"]]}}}],"schema":"https://github.com/citation-style-language/schema/raw/master/csl-citation.json"} </w:instrText>
      </w:r>
      <w:r>
        <w:fldChar w:fldCharType="separate"/>
      </w:r>
      <w:r w:rsidRPr="00FA1982">
        <w:rPr>
          <w:rFonts w:cs="Times New Roman"/>
          <w:kern w:val="0"/>
          <w:lang w:val="fr-FR" w:bidi="yi-Hebr"/>
        </w:rPr>
        <w:t xml:space="preserve"> Ronald M. Kaplan et al., </w:t>
      </w:r>
      <w:r>
        <w:t>Translation by Structural Correspondences</w:t>
      </w:r>
      <w:r w:rsidRPr="00FA1982">
        <w:rPr>
          <w:rFonts w:cs="Times New Roman"/>
          <w:kern w:val="0"/>
          <w:lang w:val="fr-FR" w:bidi="yi-Hebr"/>
        </w:rPr>
        <w:t xml:space="preserve">, </w:t>
      </w:r>
      <w:r>
        <w:t>en Proceedings of the Fourth Conference on European Chapter of the Association for Computational Linguistics</w:t>
      </w:r>
      <w:r w:rsidRPr="00FA1982">
        <w:rPr>
          <w:rFonts w:cs="Times New Roman"/>
          <w:kern w:val="0"/>
          <w:lang w:val="fr-FR" w:bidi="yi-Hebr"/>
        </w:rPr>
        <w:t xml:space="preserve"> 272 (1989), http://portal.acm.org/citation.cfm?doid=976815.976852; Louisa Sadler y Henry S. Thompson, </w:t>
      </w:r>
      <w:r>
        <w:t>Structural</w:t>
      </w:r>
      <w:r>
        <w:rPr>
          <w:rFonts w:cs="Times New Roman"/>
          <w:i/>
          <w:iCs/>
          <w:kern w:val="0"/>
          <w:lang w:val="fr-FR" w:bidi="yi-Hebr"/>
        </w:rPr>
        <w:t xml:space="preserve"> </w:t>
      </w:r>
      <w:r w:rsidRPr="00FA1982">
        <w:rPr>
          <w:rFonts w:cs="Times New Roman"/>
          <w:i/>
          <w:iCs/>
          <w:kern w:val="0"/>
          <w:lang w:val="fr-FR" w:bidi="yi-Hebr"/>
        </w:rPr>
        <w:t xml:space="preserve">Non-Correspondence </w:t>
      </w:r>
      <w:r>
        <w:rPr>
          <w:rFonts w:cs="Times New Roman"/>
          <w:i/>
          <w:iCs/>
          <w:kern w:val="0"/>
          <w:lang w:val="fr-FR" w:bidi="yi-Hebr"/>
        </w:rPr>
        <w:t xml:space="preserve">in </w:t>
      </w:r>
      <w:r>
        <w:t>Translation</w:t>
      </w:r>
      <w:r>
        <w:rPr>
          <w:rFonts w:cs="Times New Roman"/>
          <w:i/>
          <w:iCs/>
          <w:kern w:val="0"/>
          <w:lang w:val="fr-FR" w:bidi="yi-Hebr"/>
        </w:rPr>
        <w:t xml:space="preserve">, en </w:t>
      </w:r>
      <w:r>
        <w:t>Proceedings of the Fifth Conference on European Chapter of the Association for Computational Linguistics</w:t>
      </w:r>
      <w:r w:rsidRPr="00FA1982">
        <w:rPr>
          <w:rFonts w:cs="Times New Roman"/>
          <w:kern w:val="0"/>
          <w:lang w:val="fr-FR" w:bidi="yi-Hebr"/>
        </w:rPr>
        <w:t xml:space="preserve"> 293 (1991), http://portal.acm.org/citation.cfm?doid=977180.977231.</w:t>
      </w:r>
      <w:r>
        <w:fldChar w:fldCharType="end"/>
      </w:r>
    </w:p>
  </w:footnote>
  <w:footnote w:id="134">
    <w:p w:rsidR="003D5A83" w:rsidRDefault="00000000" w14:paraId="43A8627A" w14:textId="77777777">
      <w:pPr>
        <w:pStyle w:val="FootnoteText"/>
      </w:pPr>
      <w:r>
        <w:rPr>
          <w:rStyle w:val="FootnoteReference"/>
        </w:rPr>
        <w:footnoteRef/>
      </w:r>
      <w:r>
        <w:t xml:space="preserve"> </w:t>
      </w:r>
      <w:r>
        <w:rPr>
          <w:i/>
          <w:iCs/>
        </w:rPr>
        <w:t xml:space="preserve">Véase, por ejemplo</w:t>
      </w:r>
      <w:r>
        <w:t xml:space="preserve">, Anthropic, </w:t>
      </w:r>
      <w:r>
        <w:t>How Claude Code Works</w:t>
      </w:r>
      <w:r>
        <w:t xml:space="preserve">, </w:t>
      </w:r>
      <w:r>
        <w:t>Claude Code Docs</w:t>
      </w:r>
      <w:r>
        <w:t xml:space="preserve">, https://code.claude.com/docs/en/how-claude-code-works (última visita el 26 de octubre de 2026) </w:t>
      </w:r>
      <w:r>
        <w:t>(describe</w:t>
      </w:r>
      <w:r>
        <w:t xml:space="preserve"> un bucle </w:t>
      </w:r>
      <w:r>
        <w:t>agéntico</w:t>
      </w:r>
      <w:r>
        <w:t xml:space="preserve"> en el que el modelo lee </w:t>
      </w:r>
      <w:r>
        <w:t>una base de</w:t>
      </w:r>
      <w:r>
        <w:t xml:space="preserve"> código</w:t>
      </w:r>
      <w:r>
        <w:t>, edita archivos, ejecuta pruebas y comandos</w:t>
      </w:r>
      <w:r>
        <w:t xml:space="preserve"> y actúa sin </w:t>
      </w:r>
      <w:r>
        <w:t>pedir confirmación</w:t>
      </w:r>
      <w:r>
        <w:t xml:space="preserve">, </w:t>
      </w:r>
      <w:r>
        <w:t>dentro</w:t>
      </w:r>
      <w:r>
        <w:t xml:space="preserve"> del modo de </w:t>
      </w:r>
      <w:r>
        <w:t>permisos</w:t>
      </w:r>
      <w:r>
        <w:t xml:space="preserve"> que </w:t>
      </w:r>
      <w:r>
        <w:t xml:space="preserve">elija </w:t>
      </w:r>
      <w:r>
        <w:t>el usuario</w:t>
      </w:r>
      <w:r>
        <w:t xml:space="preserve">); GitHub, </w:t>
      </w:r>
      <w:r>
        <w:t>Starting</w:t>
      </w:r>
      <w:r>
        <w:rPr>
          <w:i/>
          <w:iCs/>
        </w:rPr>
        <w:t xml:space="preserve"> GitHub </w:t>
      </w:r>
      <w:r>
        <w:t>Copilot Sessions,</w:t>
      </w:r>
      <w:r>
        <w:t xml:space="preserve"> GitHub</w:t>
      </w:r>
      <w:r>
        <w:t xml:space="preserve"> Docs</w:t>
      </w:r>
      <w:r>
        <w:t xml:space="preserve">, https://docs.github.com/en/copilot/how-tos/use-copilot-agents/coding-agent/create-a-pr (última visita el 26 de octubre de 2026) (agente que </w:t>
      </w:r>
      <w:r>
        <w:t>trabaja</w:t>
      </w:r>
      <w:r>
        <w:t xml:space="preserve"> en segundo plano y abre solicitudes de incorporación de cambios</w:t>
      </w:r>
      <w:r>
        <w:t xml:space="preserve"> </w:t>
      </w:r>
      <w:r>
        <w:t>[pull requests]). Los propios ajustes de permisos son</w:t>
      </w:r>
      <w:r>
        <w:t xml:space="preserve"> un ejemplo de la </w:t>
      </w:r>
      <w:r>
        <w:t>puerta</w:t>
      </w:r>
      <w:r>
        <w:t xml:space="preserve"> que se describe </w:t>
      </w:r>
      <w:r>
        <w:t>más adelante</w:t>
      </w:r>
      <w:r>
        <w:t>.</w:t>
      </w:r>
    </w:p>
  </w:footnote>
  <w:footnote w:id="135">
    <w:p w:rsidR="00211F20" w:rsidRDefault="00211F20" w14:paraId="71D157E8" w14:textId="038BCD66">
      <w:pPr>
        <w:pStyle w:val="FootnoteText"/>
      </w:pPr>
      <w:r>
        <w:rPr>
          <w:rStyle w:val="FootnoteReference"/>
        </w:rPr>
        <w:footnoteRef/>
      </w:r>
      <w:r>
        <w:fldChar w:fldCharType="begin"/>
      </w:r>
      <w:r w:rsidR="00C04038">
        <w:instrText xml:space="preserve"> ADDIN ZOTERO_ITEM CSL_CITATION {"citationID":"1Vi6BNiN","properties":{"formattedCitation":"See generally Benedikt Z\\uc0\\u246{}nnchen, Mariya Dzhimova &amp; Gudrun Socher, {\\i{}From Intelligence to Autopoiesis: Rethinking Artificial Intelligence through Systems Theory}, 10 {\\scaps Front. Commun.} (2025), https://www.frontiersin.org/journals/communication/articles/10.3389/fcomm.2025.1585321/full; Jesper T\\uc0\\u230{}kke, {\\i{}Generative AI\\uc0\\u8212{}the Transgression of Technology}, n/a {\\scaps Syst. Res. Behav. Sci.}, https://onlinelibrary.wiley.com/doi/abs/10.1002/sres.70045 (last visited Apr. 13, 2026); Jaime F. C\\uc0\\u225{}rdenas-Garc\\uc0\\u237{}a, {\\i{}Info-Autopoiesis and the Limits of Artificial General Intelligence}, 12 {\\scaps Computers} 102 (2023).","plainCitation":"See generally Benedikt Zönnchen, Mariya Dzhimova &amp; Gudrun Socher, From Intelligence to Autopoiesis: Rethinking Artificial Intelligence through Systems Theory, 10 Front. Commun. (2025), https://www.frontiersin.org/journals/communication/articles/10.3389/fcomm.2025.1585321/full; Jesper Tække, Generative AI—the Transgression of Technology, n/a Syst. Res. Behav. Sci., https://onlinelibrary.wiley.com/doi/abs/10.1002/sres.70045 (last visited Apr. 13, 2026); Jaime F. Cárdenas-García, Info-Autopoiesis and the Limits of Artificial General Intelligence, 12 Computers 102 (2023).","noteIndex":52},"citationItems":[{"id":140,"uris":["http://zotero.org/users/20142566/items/SV2BQDCI"],"itemData":{"id":140,"type":"article-journal","abstract":"The rapid advancements in the field of artificial intelligence (AI) have reinvigorated profound debates on the nature of intelligence, consciousness, and communication. Large language models (LLMs), in particular, are at the center of these discussions, as they generate complex linguistic patterns and challenge the traditional distinction between machine computation and human understanding. While LLMs are often seen as highly advanced statistical systems that generate text based on probabilistic patterns, both laypeople and experts tend to attribute human-like qualities to them.This article analyzes AI, particularly LLMs, from a systems-theoretical perspective and examines the extent to which these models can be understood as autopoietic, operationally closed systems. Building on Luhmann's system theory, it is argued that classical Turing machines are not sense-making systems, as they lack both self-reference in the sense of re-entry and the ability to make contingent selections from possibilities. In contrast, artificial neural networks (ANNs) exhibit a novel, loosely coupled interaction with social systems, as they can extract patterns from societal communication. This form of coupling differentiates them from classical software and positions them as hybrid systems that, while lacking their own mental states, are nonetheless deeply embedded in the structures of societal meaning production. The paper argues that LLMs should neither be regarded as purely technical tools nor as genuine cognitive entities. Instead, it proposes understanding their functioning as a new form of artificial meaning production—not as independent thinking, but as a recursive reflection of socially shaped linguistic patterns. This perspective not only opens new insights into the relationship between humans and machines but also calls for a critical reflection on how AI technologies are transforming our understanding of communication and cognition.","container-title":"Frontiers in Communication","DOI":"10.3389/fcomm.2025.1585321","ISSN":"2297-900X","journalAbbreviation":"Front. Commun.","language":"English","publisher":"Frontiers","source":"Frontiers","title":"From intelligence to autopoiesis: rethinking artificial intelligence through systems theory","title-short":"From intelligence to autopoiesis","URL":"https://www.frontiersin.org/journals/communication/articles/10.3389/fcomm.2025.1585321/full","volume":"10","author":[{"family":"Zönnchen","given":"Benedikt"},{"family":"Dzhimova","given":"Mariya"},{"family":"Socher","given":"Gudrun"}],"accessed":{"date-parts":[["2026",4,13]]},"issued":{"date-parts":[["2025",5,19]]}},"prefix":"See generally"},{"id":141,"uris":["http://zotero.org/users/20142566/items/988U7LNB"],"itemData":{"id":141,"type":"article-journal","abstract":"This article offers a systems-theoretical analysis of generative artificial intelligence (GenAI) grounded in Niklas Luhmann's sociology of technology. It addresses a central conceptual problem: How GenAI can be understood within a theoretical framework that has traditionally defined technology as a means of stabilising action through causal closure and repeatable decision premises. Reconstructing Luhmann's concept of technology in a text-near manner, the article argues that GenAI should neither be understood as an autopoietic system nor as a mere extension of deterministic technology. Instead, GenAI is analysed as a form of nontrivial technology whose stochastic operations undermine the expectation of causal stability while remaining embedded in organisational decision structures. In this sense, GenAI constitutes a transgression of the Weberian–Luhmannian concept of technology: Causal closure is retained, but causal stability is no longer guaranteed. The article shows how GenAI externalises and operationalises contingency, requiring organisations to reflexively translate probabilistic outputs into meaningful decisions. By situating GenAI within debates on autopoiesis, nontriviality and technology, the article clarifies the conceptual limits of existing system-theoretical approaches and outlines the contours of nontrivial technology as a distinct sociological phenomenon.","container-title":"Systems Research and Behavioral Science","DOI":"10.1002/sres.70045","ISSN":"1099-1743","issue":"n/a","language":"en","license":"© 2026 The Author(s). Systems Research and Behavioral Science published by International Federation for Systems Research and John Wiley &amp; Sons Ltd.","note":"_eprint: https://onlinelibrary.wiley.com/doi/pdf/10.1002/sres.70045","source":"Wiley Online Library","title":"Generative AI—the Transgression of Technology","URL":"https://onlinelibrary.wiley.com/doi/abs/10.1002/sres.70045","volume":"n/a","author":[{"family":"Tække","given":"Jesper"}],"accessed":{"date-parts":[["2026",4,13]]}}},{"id":142,"uris":["http://zotero.org/users/20142566/items/6USEGQ5W"],"itemData":{"id":142,"type":"article-journal","abstract":"Recent developments, begun by the ascending spiral of the anticipated endless prospects of ChatGPT, promote artificial intelligence (AI) as an indispensable tool and commodity whose time has come. Yet the sinister specter of a technology that has hidden and unmanageable attributes that might be harmful to society looms in the background, as well as the likelihood that it will never deliver on the purported promise of artificial general intelligence (AGI). Currently, the prospects for the development of AI and AGI are more a matter of opinion than based on a consistent methodological approach. Thus, there is a need to take a step back to develop a general framework from which to evaluate current AI efforts, which also permits the determination of the limits to its future prospects as AGI. To gain insight into the development of a general framework, a key question needs to be resolved: what is the connection between human intelligence and machine intelligence? This is the question that needs a response because humans are at the center of AI creation and realize that, without an understanding of how we become what we become, we have no chance of finding a solution. This work proposes info-autopoiesis, the self-referential, recursive, and interactive process of self-production of information, as the needed general framework. Info-autopoiesis shows how the key ingredient of information is fundamental to an insightful resolution to this crucial question and allows predictions as to the present and future of AGI.","container-title":"Computers","DOI":"10.3390/computers12050102","ISSN":"2073-431X","issue":"5","language":"en","license":"http://creativecommons.org/licenses/by/3.0/","page":"102","publisher":"Multidisciplinary Digital Publishing Institute","source":"www.mdpi.com","title":"Info-Autopoiesis and the Limits of Artificial General Intelligence","volume":"12","author":[{"family":"Cárdenas-García","given":"Jaime F."}],"issued":{"date-parts":[["2023",5]]}}}],"schema":"https://github.com/citation-style-language/schema/raw/master/csl-citation.json"} </w:instrText>
      </w:r>
      <w:r>
        <w:fldChar w:fldCharType="separate"/>
      </w:r>
      <w:r w:rsidRPr="00211F20">
        <w:rPr>
          <w:rFonts w:cs="Times New Roman"/>
          <w:kern w:val="0"/>
          <w:lang w:bidi="yi-Hebr"/>
        </w:rPr>
        <w:t xml:space="preserve"> Véase, en general, Benedikt </w:t>
      </w:r>
      <w:r w:rsidRPr="00211F20">
        <w:rPr>
          <w:rFonts w:cs="Times New Roman"/>
          <w:kern w:val="0"/>
          <w:lang w:bidi="yi-Hebr"/>
        </w:rPr>
        <w:t xml:space="preserve">Zönnchen</w:t>
      </w:r>
      <w:r w:rsidRPr="00211F20">
        <w:rPr>
          <w:rFonts w:cs="Times New Roman"/>
          <w:kern w:val="0"/>
          <w:lang w:bidi="yi-Hebr"/>
        </w:rPr>
        <w:t xml:space="preserve">, Mariya Dzhimova y Gudrun Socher, </w:t>
      </w:r>
      <w:r>
        <w:t>From Intelligence to Autopoiesis</w:t>
      </w:r>
      <w:r>
        <w:rPr>
          <w:rFonts w:cs="Times New Roman"/>
          <w:i/>
          <w:iCs/>
          <w:kern w:val="0"/>
          <w:lang w:bidi="yi-Hebr"/>
        </w:rPr>
        <w:t xml:space="preserve">: </w:t>
      </w:r>
      <w:r>
        <w:t>Rethinking Artificial Intelligence through Systems Theory, 10 Front. Commun.</w:t>
      </w:r>
      <w:r>
        <w:rPr>
          <w:rFonts w:cs="Times New Roman"/>
          <w:i/>
          <w:iCs/>
          <w:kern w:val="0"/>
          <w:lang w:bidi="yi-Hebr"/>
        </w:rPr>
        <w:t xml:space="preserve"> </w:t>
      </w:r>
      <w:r>
        <w:rPr>
          <w:rFonts w:cs="Times New Roman"/>
          <w:kern w:val="0"/>
          <w:lang w:bidi="yi-Hebr"/>
        </w:rPr>
        <w:t xml:space="preserve">(2025), https://www.frontiersin.org/journals/communication/articles/10.3389/fcomm.2025.1585321/full; Jesper Tække, </w:t>
      </w:r>
      <w:r>
        <w:t>Generative AI—the Transgression of Technology</w:t>
      </w:r>
      <w:r>
        <w:rPr>
          <w:rFonts w:cs="Times New Roman"/>
          <w:kern w:val="0"/>
          <w:lang w:bidi="yi-Hebr"/>
        </w:rPr>
        <w:t xml:space="preserve">, n/a </w:t>
      </w:r>
      <w:r w:rsidRPr="00211F20">
        <w:rPr>
          <w:rFonts w:cs="Times New Roman"/>
          <w:smallCaps/>
          <w:kern w:val="0"/>
          <w:lang w:bidi="yi-Hebr"/>
        </w:rPr>
        <w:t xml:space="preserve">Syst. Res. </w:t>
      </w:r>
      <w:r w:rsidRPr="00211F20">
        <w:rPr>
          <w:rFonts w:cs="Times New Roman"/>
          <w:smallCaps/>
          <w:kern w:val="0"/>
          <w:lang w:bidi="yi-Hebr"/>
        </w:rPr>
        <w:t xml:space="preserve">Behav</w:t>
      </w:r>
      <w:r w:rsidRPr="00211F20">
        <w:rPr>
          <w:rFonts w:cs="Times New Roman"/>
          <w:smallCaps/>
          <w:kern w:val="0"/>
          <w:lang w:bidi="yi-Hebr"/>
        </w:rPr>
        <w:t xml:space="preserve">. Sci.</w:t>
      </w:r>
      <w:r w:rsidRPr="00211F20">
        <w:rPr>
          <w:rFonts w:cs="Times New Roman"/>
          <w:kern w:val="0"/>
          <w:lang w:bidi="yi-Hebr"/>
        </w:rPr>
        <w:t xml:space="preserve">, https://onlinelibrary.wiley.com/doi/abs/10.1002/sres.70045 (última visita el 13 de abril de 2026); Jaime F. Cárdenas-García, </w:t>
      </w:r>
      <w:r>
        <w:t>Info-Autopoiesis and the Limits of Artificial General Intelligence</w:t>
      </w:r>
      <w:r>
        <w:rPr>
          <w:rFonts w:cs="Times New Roman"/>
          <w:kern w:val="0"/>
          <w:lang w:bidi="yi-Hebr"/>
        </w:rPr>
        <w:t>, 12</w:t>
      </w:r>
      <w:r>
        <w:t xml:space="preserve"> Computers </w:t>
      </w:r>
      <w:r>
        <w:rPr>
          <w:rFonts w:cs="Times New Roman"/>
          <w:kern w:val="0"/>
          <w:lang w:bidi="yi-Hebr"/>
        </w:rPr>
        <w:t>102 (2023).</w:t>
      </w:r>
      <w:r>
        <w:fldChar w:fldCharType="end"/>
      </w:r>
    </w:p>
  </w:footnote>
  <w:footnote w:id="136">
    <w:p w:rsidR="003D5A83" w:rsidRDefault="00000000" w14:paraId="2DD6B5CB" w14:textId="77777777">
      <w:pPr>
        <w:pStyle w:val="FootnoteText"/>
      </w:pPr>
      <w:r>
        <w:rPr>
          <w:rStyle w:val="FootnoteReference"/>
        </w:rPr>
        <w:footnoteRef/>
      </w:r>
      <w:r>
        <w:t xml:space="preserve"> </w:t>
      </w:r>
      <w:r>
        <w:rPr>
          <w:smallCaps/>
        </w:rPr>
        <w:t xml:space="preserve">Niklas Luhmann, </w:t>
      </w:r>
      <w:r>
        <w:t>Law as a Social System</w:t>
      </w:r>
      <w:r>
        <w:t xml:space="preserve"> cap. 4 </w:t>
      </w:r>
      <w:r>
        <w:t>(Klaus</w:t>
      </w:r>
      <w:r>
        <w:t xml:space="preserve"> A. Ziegert</w:t>
      </w:r>
      <w:r>
        <w:t>, trad.,</w:t>
      </w:r>
      <w:r>
        <w:t xml:space="preserve"> Fatima Kastner </w:t>
      </w:r>
      <w:r>
        <w:t>et al., eds.,</w:t>
      </w:r>
      <w:r>
        <w:t xml:space="preserve"> 2004) (el código binario del sistema jurídico</w:t>
      </w:r>
      <w:r>
        <w:t>,</w:t>
      </w:r>
      <w:r>
        <w:t xml:space="preserve"> </w:t>
      </w:r>
      <w:r>
        <w:t>lícito/ilícito</w:t>
      </w:r>
      <w:r>
        <w:t>, y los programas condicionales que determinan su aplicación).</w:t>
      </w:r>
    </w:p>
  </w:footnote>
  <w:footnote w:id="137">
    <w:p w:rsidRPr="00B02371" w:rsidR="00B02371" w:rsidRDefault="00B02371" w14:paraId="54598DEA" w14:textId="4F3BEF21">
      <w:pPr>
        <w:pStyle w:val="FootnoteText"/>
      </w:pPr>
      <w:r>
        <w:rPr>
          <w:rStyle w:val="FootnoteReference"/>
        </w:rPr>
        <w:footnoteRef/>
      </w:r>
      <w:r>
        <w:fldChar w:fldCharType="begin"/>
      </w:r>
      <w:r w:rsidRPr="00B02371">
        <w:instrText xml:space="preserve"> ADDIN ZOTERO_ITEM CSL_CITATION {"citationID":"4aV4xUgk","properties":{"formattedCitation":"{\\scaps Julie E. Cohen}, {\\scaps Between Truth and Power: The Legal Constructions of Informational Capitalism} (2019).","plainCitation":"Julie E. Cohen, Between Truth and Power: The Legal Constructions of Informational Capitalism (2019).","noteIndex":61},"citationItems":[{"id":17,"uris":["http://zotero.org/users/20142566/items/HYE67D7J"],"itemData":{"id":17,"type":"book","abstract":"Drawing from law, science and technology studies, cultural studies, and information studies to develop a complex theory of information power and institutional change, Between Truth and Power is a tour de force of ambitious interdisciplinary scholarship that has the potential to transform the entire field of scholarship on the Internet and society","ISBN":"978-0-19-024669-3","language":"en","number-of-pages":"1","publisher":"Oxford University Press","publisher-place":"Oxford","source":"K10plus ISBN","title":"Between Truth and Power: The Legal Constructions of Informational Capitalism","title-short":"Between truth and power","author":[{"family":"Cohen","given":"Julie E."}],"issued":{"date-parts":[["2019"]]}}}],"schema":"https://github.com/citation-style-language/schema/raw/master/csl-citation.json"} </w:instrText>
      </w:r>
      <w:r>
        <w:fldChar w:fldCharType="separate"/>
      </w:r>
      <w:r w:rsidRPr="00B02371">
        <w:rPr>
          <w:rFonts w:cs="Times New Roman"/>
          <w:smallCaps/>
          <w:kern w:val="0"/>
        </w:rPr>
        <w:t xml:space="preserve"> Julie E. Cohen</w:t>
      </w:r>
      <w:r>
        <w:rPr>
          <w:rFonts w:cs="Times New Roman"/>
          <w:kern w:val="0"/>
        </w:rPr>
        <w:t>,</w:t>
      </w:r>
      <w:r>
        <w:rPr>
          <w:rFonts w:cs="Times New Roman"/>
          <w:smallCaps/>
          <w:kern w:val="0"/>
        </w:rPr>
        <w:t xml:space="preserve"> </w:t>
      </w:r>
      <w:r>
        <w:t>Between Truth and Power</w:t>
      </w:r>
      <w:r>
        <w:rPr>
          <w:rFonts w:cs="Times New Roman"/>
          <w:smallCaps/>
          <w:kern w:val="0"/>
        </w:rPr>
        <w:t xml:space="preserve">: </w:t>
      </w:r>
      <w:r>
        <w:t>The Legal Constructions of Informational Capitalism</w:t>
      </w:r>
      <w:r w:rsidRPr="00B02371">
        <w:rPr>
          <w:rFonts w:cs="Times New Roman"/>
          <w:kern w:val="0"/>
        </w:rPr>
        <w:t xml:space="preserve"> (2019).</w:t>
      </w:r>
      <w:r>
        <w:fldChar w:fldCharType="end"/>
      </w:r>
    </w:p>
  </w:footnote>
  <w:footnote w:id="138">
    <w:p w:rsidRPr="00966A48" w:rsidR="00966A48" w:rsidRDefault="00966A48" w14:paraId="72501081" w14:textId="5D3C9559">
      <w:pPr>
        <w:pStyle w:val="FootnoteText"/>
      </w:pPr>
      <w:r>
        <w:rPr>
          <w:rStyle w:val="FootnoteReference"/>
        </w:rPr>
        <w:footnoteRef/>
      </w:r>
      <w:r>
        <w:t xml:space="preserve"> </w:t>
      </w:r>
      <w:r w:rsidRPr="00E7707C">
        <w:rPr>
          <w:rFonts w:cs="Times New Roman"/>
          <w:smallCaps/>
          <w:kern w:val="0"/>
          <w:lang w:bidi="yi-Hebr"/>
        </w:rPr>
        <w:t xml:space="preserve">Broekman y Backer</w:t>
      </w:r>
      <w:r w:rsidRPr="00E7707C">
        <w:rPr>
          <w:rFonts w:cs="Times New Roman"/>
          <w:kern w:val="0"/>
          <w:lang w:bidi="yi-Hebr"/>
        </w:rPr>
        <w:t xml:space="preserve">, </w:t>
      </w:r>
      <w:r>
        <w:t>Lawyers</w:t>
      </w:r>
      <w:r>
        <w:rPr>
          <w:rFonts w:cs="Times New Roman"/>
          <w:smallCaps/>
          <w:kern w:val="0"/>
          <w:lang w:bidi="yi-Hebr"/>
        </w:rPr>
        <w:t xml:space="preserve"> Making </w:t>
      </w:r>
      <w:r>
        <w:t>Meaning,</w:t>
      </w:r>
      <w:r>
        <w:rPr>
          <w:rFonts w:cs="Times New Roman"/>
          <w:smallCaps/>
          <w:kern w:val="0"/>
          <w:lang w:bidi="yi-Hebr"/>
        </w:rPr>
        <w:t xml:space="preserve"> </w:t>
      </w:r>
      <w:r>
        <w:t xml:space="preserve">supra</w:t>
      </w:r>
      <w:r w:rsidRPr="004E3A22">
        <w:t xml:space="preserve">, pp. 99-125</w:t>
      </w:r>
      <w:r>
        <w:t xml:space="preserve">.</w:t>
      </w:r>
    </w:p>
  </w:footnote>
  <w:footnote w:id="139">
    <w:p w:rsidRPr="004E3A22" w:rsidR="00637793" w:rsidRDefault="00637793" w14:paraId="21D360F8" w14:textId="3F3D394E">
      <w:pPr>
        <w:pStyle w:val="FootnoteText"/>
        <w:rPr>
          <w:lang w:val="de-DE"/>
        </w:rPr>
      </w:pPr>
      <w:r>
        <w:rPr>
          <w:rStyle w:val="FootnoteReference"/>
        </w:rPr>
        <w:footnoteRef/>
      </w:r>
      <w:r>
        <w:fldChar w:fldCharType="begin"/>
      </w:r>
      <w:r w:rsidR="00C04038">
        <w:rPr>
          <w:lang w:val="de-DE"/>
        </w:rPr>
        <w:instrText xml:space="preserve"> ADDIN ZOTERO_ITEM CSL_CITATION {"citationID":"6fpNjDBz","properties":{"formattedCitation":"Niklas Luhmann, {\\i{}Organisation und Entscheidung}, {\\i{}in} {\\scaps Organisation und Entscheidung} 5 (1978), http://link.springer.com/10.1007/978-3-322-91079-0_1.","plainCitation":"Niklas Luhmann, Organisation und Entscheidung, in Organisation und Entscheidung 5 (1978), http://link.springer.com/10.1007/978-3-322-91079-0_1.","noteIndex":53},"citationItems":[{"id":138,"uris":["http://zotero.org/users/20142566/items/XE5555KP"],"itemData":{"id":138,"type":"chapter","container-title":"Organisation und Entscheidung","DOI":"10.1007/978-3-322-91079-0_1","ISBN":"978-3-531-07232-6","language":"de","page":"5-71","publisher":"VS Verlag für Sozialwissenschaften","publisher-place":"Wiesbaden","source":"DOI.org (Crossref)","title":"Organisation und Entscheidung","URL":"http://link.springer.com/10.1007/978-3-322-91079-0_1","container-author":[{"family":"Luhmann","given":"Niklas"}],"author":[{"family":"Luhmann","given":"Niklas"}],"accessed":{"date-parts":[["2026",4,13]]},"issued":{"date-parts":[["1978"]]}}}],"schema":"https://github.com/citation-style-language/schema/raw/master/csl-citation.json"} </w:instrText>
      </w:r>
      <w:r>
        <w:fldChar w:fldCharType="separate"/>
      </w:r>
      <w:r w:rsidRPr="004E3A22">
        <w:rPr>
          <w:rFonts w:cs="Times New Roman"/>
          <w:kern w:val="0"/>
          <w:lang w:val="de-DE" w:bidi="yi-Hebr"/>
        </w:rPr>
        <w:t xml:space="preserve"> Niklas Luhmann, </w:t>
      </w:r>
      <w:r>
        <w:t>Organisation und Entscheidung</w:t>
      </w:r>
      <w:r w:rsidRPr="004E3A22">
        <w:rPr>
          <w:rFonts w:cs="Times New Roman"/>
          <w:kern w:val="0"/>
          <w:lang w:val="de-DE" w:bidi="yi-Hebr"/>
        </w:rPr>
        <w:t xml:space="preserve">, </w:t>
      </w:r>
      <w:r>
        <w:t>en Organisation und Entscheidung</w:t>
      </w:r>
      <w:r w:rsidRPr="004E3A22">
        <w:rPr>
          <w:rFonts w:cs="Times New Roman"/>
          <w:kern w:val="0"/>
          <w:lang w:val="de-DE" w:bidi="yi-Hebr"/>
        </w:rPr>
        <w:t xml:space="preserve"> 5 (1978), http://link.springer.com/10.1007/978-3-322-91079-0_1.</w:t>
      </w:r>
      <w:r>
        <w:fldChar w:fldCharType="end"/>
      </w:r>
    </w:p>
  </w:footnote>
  <w:footnote w:id="140">
    <w:p w:rsidR="003D5A83" w:rsidRDefault="00000000" w14:paraId="2108ED90" w14:textId="77777777">
      <w:pPr>
        <w:pStyle w:val="FootnoteText"/>
      </w:pPr>
      <w:r>
        <w:rPr>
          <w:rStyle w:val="FootnoteReference"/>
        </w:rPr>
        <w:footnoteRef/>
      </w:r>
      <w:r>
        <w:t xml:space="preserve"> </w:t>
      </w:r>
      <w:r>
        <w:rPr>
          <w:smallCaps/>
        </w:rPr>
        <w:t xml:space="preserve">Niklas Luhmann, </w:t>
      </w:r>
      <w:r>
        <w:t>Law as a Social System</w:t>
      </w:r>
      <w:r>
        <w:t xml:space="preserve"> cap. 10 </w:t>
      </w:r>
      <w:r>
        <w:t>(Klaus</w:t>
      </w:r>
      <w:r>
        <w:t xml:space="preserve"> A. Ziegert</w:t>
      </w:r>
      <w:r>
        <w:t>, trad.,</w:t>
      </w:r>
      <w:r>
        <w:t xml:space="preserve"> Fatima Kastner </w:t>
      </w:r>
      <w:r>
        <w:t>et al., eds.,</w:t>
      </w:r>
      <w:r>
        <w:t xml:space="preserve"> 2004).</w:t>
      </w:r>
    </w:p>
  </w:footnote>
  <w:footnote w:id="141">
    <w:p w:rsidR="00335C16" w:rsidRDefault="00335C16" w14:paraId="2963D294" w14:textId="297F5ED1">
      <w:pPr>
        <w:pStyle w:val="FootnoteText"/>
      </w:pPr>
      <w:r>
        <w:rPr>
          <w:rStyle w:val="FootnoteReference"/>
        </w:rPr>
        <w:footnoteRef/>
      </w:r>
      <w:r>
        <w:fldChar w:fldCharType="begin"/>
      </w:r>
      <w:r w:rsidR="00C04038">
        <w:instrText xml:space="preserve"> ADDIN ZOTERO_ITEM CSL_CITATION {"citationID":"BucMCtsK","properties":{"formattedCitation":"Niklas Luhmann, {\\i{}Operational Closure and Structural Coupling: The Differentiation of the Legal System Closed Systems and Open Justice: The Legal Sociology of Niklas Luhmann}, 13 {\\scaps Cardozo Law Rev.} 1419 (1991).","plainCitation":"Niklas Luhmann, Operational Closure and Structural Coupling: The Differentiation of the Legal System Closed Systems and Open Justice: The Legal Sociology of Niklas Luhmann, 13 Cardozo Law Rev. 1419 (1991).","noteIndex":54},"citationItems":[{"id":137,"uris":["http://zotero.org/users/20142566/items/F7ACWQFC"],"itemData":{"id":137,"type":"article-journal","abstract":"Disclaimer: This summary was generated by AI based on the content of the source document.","container-title":"Cardozo Law Review","issue":"5","journalAbbreviation":"Cardozo L. Rev.","language":"eng","page":"1419-1442","source":"HeinOnline","title":"Operational Closure and Structural Coupling: The Differentiation of the Legal System Closed Systems and Open Justice: The Legal Sociology of Niklas Luhmann","title-short":"Operational Closure and Structural Coupling","volume":"13","author":[{"family":"Luhmann","given":"Niklas"}],"issued":{"date-parts":[["1991"]],"season":"1992"}}}],"schema":"https://github.com/citation-style-language/schema/raw/master/csl-citation.json"} </w:instrText>
      </w:r>
      <w:r>
        <w:fldChar w:fldCharType="separate"/>
      </w:r>
      <w:r w:rsidRPr="00335C16">
        <w:rPr>
          <w:rFonts w:cs="Times New Roman"/>
          <w:kern w:val="0"/>
          <w:lang w:bidi="yi-Hebr"/>
        </w:rPr>
        <w:t xml:space="preserve"> Niklas Luhmann, </w:t>
      </w:r>
      <w:r>
        <w:t>Operational Closure and Structural Coupling</w:t>
      </w:r>
      <w:r>
        <w:rPr>
          <w:rFonts w:cs="Times New Roman"/>
          <w:i/>
          <w:iCs/>
          <w:kern w:val="0"/>
          <w:lang w:bidi="yi-Hebr"/>
        </w:rPr>
        <w:t xml:space="preserve">: </w:t>
      </w:r>
      <w:r>
        <w:t>The Differentiation of the Legal System</w:t>
      </w:r>
      <w:r>
        <w:rPr>
          <w:rFonts w:cs="Times New Roman"/>
          <w:i/>
          <w:iCs/>
          <w:kern w:val="0"/>
          <w:lang w:bidi="yi-Hebr"/>
        </w:rPr>
        <w:t xml:space="preserve">, en </w:t>
      </w:r>
      <w:r>
        <w:t>Closed Systems and Open Justice</w:t>
      </w:r>
      <w:r>
        <w:rPr>
          <w:rFonts w:cs="Times New Roman"/>
          <w:i/>
          <w:iCs/>
          <w:kern w:val="0"/>
          <w:lang w:bidi="yi-Hebr"/>
        </w:rPr>
        <w:t xml:space="preserve">: </w:t>
      </w:r>
      <w:r>
        <w:t>The Legal Sociology of</w:t>
      </w:r>
      <w:r>
        <w:rPr>
          <w:rFonts w:cs="Times New Roman"/>
          <w:i/>
          <w:iCs/>
          <w:kern w:val="0"/>
          <w:lang w:bidi="yi-Hebr"/>
        </w:rPr>
        <w:t xml:space="preserve"> Niklas </w:t>
      </w:r>
      <w:r>
        <w:t>Luhmann</w:t>
      </w:r>
      <w:r>
        <w:rPr>
          <w:rFonts w:cs="Times New Roman"/>
          <w:kern w:val="0"/>
          <w:lang w:bidi="yi-Hebr"/>
        </w:rPr>
        <w:t>, 13</w:t>
      </w:r>
      <w:r>
        <w:t xml:space="preserve"> Cardozo L. Rev. </w:t>
      </w:r>
      <w:r>
        <w:rPr>
          <w:rFonts w:cs="Times New Roman"/>
          <w:kern w:val="0"/>
          <w:lang w:bidi="yi-Hebr"/>
        </w:rPr>
        <w:t>1419 (1991).</w:t>
      </w:r>
      <w:r>
        <w:fldChar w:fldCharType="end"/>
      </w:r>
    </w:p>
  </w:footnote>
  <w:footnote w:id="142">
    <w:p w:rsidRPr="00D27BF6" w:rsidR="00E21DCE" w:rsidRDefault="00E21DCE" w14:paraId="508FA8ED" w14:textId="38A0AB4A">
      <w:pPr>
        <w:pStyle w:val="FootnoteText"/>
      </w:pPr>
      <w:r>
        <w:rPr>
          <w:rStyle w:val="FootnoteReference"/>
        </w:rPr>
        <w:footnoteRef/>
      </w:r>
      <w:r>
        <w:t xml:space="preserve"> </w:t>
      </w:r>
      <w:r>
        <w:t xml:space="preserve">Véase, por ejemplo, Jens Rasmussen, </w:t>
      </w:r>
      <w:r>
        <w:t>Ecological Interface Design for Reliable Human-Machine Systems</w:t>
      </w:r>
      <w:r>
        <w:t>,</w:t>
      </w:r>
      <w:r>
        <w:t xml:space="preserve"> 9(3) The Int’l J. Aviation Psych. 203-223 (1999).</w:t>
      </w:r>
    </w:p>
  </w:footnote>
  <w:footnote w:id="143">
    <w:p w:rsidR="00321393" w:rsidRDefault="00321393" w14:paraId="4F71405A" w14:textId="404FE7E1">
      <w:pPr>
        <w:pStyle w:val="FootnoteText"/>
      </w:pPr>
      <w:r>
        <w:rPr>
          <w:rStyle w:val="FootnoteReference"/>
        </w:rPr>
        <w:footnoteRef/>
      </w:r>
      <w:r>
        <w:fldChar w:fldCharType="begin"/>
      </w:r>
      <w:r>
        <w:instrText xml:space="preserve"> ADDIN ZOTERO_ITEM CSL_CITATION {"citationID":"qfPo061J","properties":{"formattedCitation":"Joshua A Kroll et al., {\\i{}Accountable Algorithms}, 165 {\\scaps Univ. Pa. Law Rev.} 633.","plainCitation":"Joshua A Kroll et al., Accountable Algorithms, 165 Univ. Pa. Law Rev. 633.","noteIndex":64},"citationItems":[{"id":19,"uris":["http://zotero.org/users/20142566/items/Y8VR2PTE"],"itemData":{"id":19,"type":"article-journal","container-title":"University of Pennsylvania Law Review","language":"en","page":"633-705","publisher":"The University of Pennsylvania Law Review","source":"Zotero","title":"Accountable Algorithms","volume":"165","author":[{"family":"Kroll","given":"Joshua A"},{"family":"Huey","given":"Joanna"},{"family":"Barocas","given":"Solon"},{"family":"Reidenberg","given":"Joel R"},{"family":"Robinson","given":"David G"},{"family":"Yut","given":"Harlan"}]}}],"schema":"https://github.com/citation-style-language/schema/raw/master/csl-citation.json"} </w:instrText>
      </w:r>
      <w:r>
        <w:fldChar w:fldCharType="separate"/>
      </w:r>
      <w:r>
        <w:rPr>
          <w:rFonts w:cs="Times New Roman"/>
          <w:kern w:val="0"/>
        </w:rPr>
        <w:t xml:space="preserve"> Joshua A. Kroll </w:t>
      </w:r>
      <w:r>
        <w:t>et al., Accountable Algorithms</w:t>
      </w:r>
      <w:r>
        <w:rPr>
          <w:rFonts w:cs="Times New Roman"/>
          <w:kern w:val="0"/>
        </w:rPr>
        <w:t>, 165</w:t>
      </w:r>
      <w:r>
        <w:rPr>
          <w:rFonts w:cs="Times New Roman"/>
          <w:smallCaps/>
          <w:kern w:val="0"/>
        </w:rPr>
        <w:t xml:space="preserve"> Univ. Pa. </w:t>
      </w:r>
      <w:r>
        <w:t>L.</w:t>
      </w:r>
      <w:r>
        <w:rPr>
          <w:rFonts w:cs="Times New Roman"/>
          <w:smallCaps/>
          <w:kern w:val="0"/>
        </w:rPr>
        <w:t xml:space="preserve"> Rev.</w:t>
      </w:r>
      <w:r w:rsidRPr="00321393">
        <w:rPr>
          <w:rFonts w:cs="Times New Roman"/>
          <w:kern w:val="0"/>
        </w:rPr>
        <w:t xml:space="preserve"> 633.</w:t>
      </w:r>
      <w:r>
        <w:fldChar w:fldCharType="end"/>
      </w:r>
    </w:p>
  </w:footnote>
  <w:footnote w:id="144">
    <w:p w:rsidR="004817E5" w:rsidRDefault="00000000" w14:paraId="34AB667B"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Al igual que </w:t>
      </w:r>
      <w:r>
        <w:t xml:space="preserve">ocurre </w:t>
      </w:r>
      <w:r>
        <w:rPr>
          <w:rFonts w:ascii="Times New Roman" w:hAnsi="Times New Roman" w:cs="Times New Roman"/>
        </w:rPr>
        <w:t xml:space="preserve">con </w:t>
      </w:r>
      <w:r>
        <w:t>las lenguas humanas</w:t>
      </w:r>
      <w:r>
        <w:rPr>
          <w:rFonts w:ascii="Times New Roman" w:hAnsi="Times New Roman" w:cs="Times New Roman"/>
        </w:rPr>
        <w:t xml:space="preserve">, este es un ámbito plagado de imperfecciones, que se magnifican a medida que </w:t>
      </w:r>
      <w:r>
        <w:rPr>
          <w:rFonts w:ascii="Times New Roman" w:hAnsi="Times New Roman" w:cs="Times New Roman"/>
        </w:rPr>
        <w:t xml:space="preserve">los errores </w:t>
      </w:r>
      <w:r>
        <w:t xml:space="preserve">se acrecientan </w:t>
      </w:r>
      <w:r>
        <w:rPr>
          <w:rFonts w:ascii="Times New Roman" w:hAnsi="Times New Roman" w:cs="Times New Roman"/>
        </w:rPr>
        <w:t xml:space="preserve">en la traducción. Véase Marie-Anne Lachaux, Baptiste </w:t>
      </w:r>
      <w:r>
        <w:rPr>
          <w:rFonts w:ascii="Times New Roman" w:hAnsi="Times New Roman" w:cs="Times New Roman"/>
        </w:rPr>
        <w:t xml:space="preserve">Roziere</w:t>
      </w:r>
      <w:r>
        <w:rPr>
          <w:rFonts w:ascii="Times New Roman" w:hAnsi="Times New Roman" w:cs="Times New Roman"/>
        </w:rPr>
        <w:t xml:space="preserve">, </w:t>
      </w:r>
      <w:r>
        <w:rPr>
          <w:rFonts w:ascii="Times New Roman" w:hAnsi="Times New Roman" w:cs="Times New Roman"/>
        </w:rPr>
        <w:t xml:space="preserve">Lowik </w:t>
      </w:r>
      <w:r>
        <w:rPr>
          <w:rFonts w:ascii="Times New Roman" w:hAnsi="Times New Roman" w:cs="Times New Roman"/>
        </w:rPr>
        <w:t xml:space="preserve">Chanussot y Guillaume Lample, </w:t>
      </w:r>
      <w:r>
        <w:t>Unsupervised Translation of Programming Languages</w:t>
      </w:r>
      <w:r>
        <w:rPr>
          <w:rFonts w:ascii="Times New Roman" w:hAnsi="Times New Roman" w:cs="Times New Roman"/>
        </w:rPr>
        <w:t xml:space="preserve"> (v3, 22 de septiembre de 2020, arXiv:2006.03511v3 [cs.CL] para esta versión); disponible en [https://doi.org/10.48550/arXiv.2006.03511]</w:t>
      </w:r>
    </w:p>
  </w:footnote>
  <w:footnote w:id="145">
    <w:p w:rsidR="004817E5" w:rsidRDefault="00000000" w14:paraId="2E873C4D"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Véase, en parte, </w:t>
      </w:r>
      <w:r>
        <w:rPr>
          <w:rFonts w:ascii="Times New Roman" w:hAnsi="Times New Roman" w:cs="Times New Roman"/>
          <w:smallCaps/>
        </w:rPr>
        <w:t xml:space="preserve">David </w:t>
      </w:r>
      <w:r>
        <w:rPr>
          <w:rFonts w:ascii="Times New Roman" w:hAnsi="Times New Roman" w:cs="Times New Roman"/>
          <w:smallCaps/>
        </w:rPr>
        <w:t xml:space="preserve">Golumbia</w:t>
      </w:r>
      <w:r>
        <w:rPr>
          <w:rFonts w:ascii="Times New Roman" w:hAnsi="Times New Roman" w:cs="Times New Roman"/>
        </w:rPr>
        <w:t xml:space="preserve">, </w:t>
      </w:r>
      <w:r>
        <w:t>The Cultural Logic of Computation</w:t>
      </w:r>
      <w:r>
        <w:rPr>
          <w:rFonts w:ascii="Times New Roman" w:hAnsi="Times New Roman" w:cs="Times New Roman"/>
          <w:smallCaps/>
        </w:rPr>
        <w:t xml:space="preserve"> </w:t>
      </w:r>
      <w:r>
        <w:rPr>
          <w:rFonts w:ascii="Times New Roman" w:hAnsi="Times New Roman" w:cs="Times New Roman"/>
        </w:rPr>
        <w:t xml:space="preserve">(Harvard University Press, 2009) (la computación como metáfora, método y marco </w:t>
      </w:r>
      <w:r>
        <w:t>organizador</w:t>
      </w:r>
      <w:r>
        <w:rPr>
          <w:rFonts w:ascii="Times New Roman" w:hAnsi="Times New Roman" w:cs="Times New Roman"/>
        </w:rPr>
        <w:t xml:space="preserve">); Michael Marcinkowski, </w:t>
      </w:r>
      <w:r>
        <w:t>Data</w:t>
      </w:r>
      <w:r>
        <w:rPr>
          <w:rFonts w:ascii="Times New Roman" w:hAnsi="Times New Roman" w:cs="Times New Roman"/>
          <w:i/>
          <w:iCs/>
        </w:rPr>
        <w:t xml:space="preserve">, ideology, and the developing critical program of social </w:t>
      </w:r>
      <w:r>
        <w:t>informatics</w:t>
      </w:r>
      <w:r>
        <w:rPr>
          <w:rFonts w:ascii="Times New Roman" w:hAnsi="Times New Roman" w:cs="Times New Roman"/>
        </w:rPr>
        <w:t xml:space="preserve">, 67(5) </w:t>
      </w:r>
      <w:r>
        <w:rPr>
          <w:rFonts w:ascii="Times New Roman" w:hAnsi="Times New Roman" w:cs="Times New Roman"/>
          <w:smallCaps/>
        </w:rPr>
        <w:t xml:space="preserve">Journal of the </w:t>
      </w:r>
      <w:r>
        <w:rPr>
          <w:rFonts w:ascii="Times New Roman" w:hAnsi="Times New Roman" w:cs="Times New Roman"/>
          <w:smallCaps/>
        </w:rPr>
        <w:t xml:space="preserve">Association for </w:t>
      </w:r>
      <w:r>
        <w:rPr>
          <w:rFonts w:ascii="Times New Roman" w:hAnsi="Times New Roman" w:cs="Times New Roman"/>
          <w:smallCaps/>
        </w:rPr>
        <w:t xml:space="preserve">Information </w:t>
      </w:r>
      <w:r>
        <w:rPr>
          <w:rFonts w:ascii="Times New Roman" w:hAnsi="Times New Roman" w:cs="Times New Roman"/>
          <w:smallCaps/>
        </w:rPr>
        <w:t xml:space="preserve">Science and </w:t>
      </w:r>
      <w:r>
        <w:rPr>
          <w:rFonts w:ascii="Times New Roman" w:hAnsi="Times New Roman" w:cs="Times New Roman"/>
          <w:smallCaps/>
        </w:rPr>
        <w:t xml:space="preserve">Technology </w:t>
      </w:r>
      <w:r>
        <w:rPr>
          <w:rFonts w:ascii="Times New Roman" w:hAnsi="Times New Roman" w:cs="Times New Roman"/>
        </w:rPr>
        <w:t>(JASIST</w:t>
      </w:r>
      <w:r>
        <w:t>)</w:t>
      </w:r>
      <w:r>
        <w:rPr>
          <w:rFonts w:ascii="Times New Roman" w:hAnsi="Times New Roman" w:cs="Times New Roman"/>
        </w:rPr>
        <w:t xml:space="preserve"> 1266-1275 (2016); disponible en https://doi.org/10.1002/asi.23483</w:t>
      </w:r>
    </w:p>
  </w:footnote>
  <w:footnote w:id="146">
    <w:p w:rsidR="004817E5" w:rsidRDefault="00000000" w14:paraId="1521119E"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Véase Robert E. Innis, </w:t>
      </w:r>
      <w:r>
        <w:t>Affecting Signs</w:t>
      </w:r>
      <w:r>
        <w:rPr>
          <w:rFonts w:ascii="Times New Roman" w:hAnsi="Times New Roman" w:cs="Times New Roman"/>
        </w:rPr>
        <w:t xml:space="preserve">: </w:t>
      </w:r>
      <w:r>
        <w:t>On Semiotic Interruptions</w:t>
      </w:r>
      <w:r>
        <w:rPr>
          <w:rFonts w:ascii="Times New Roman" w:hAnsi="Times New Roman" w:cs="Times New Roman"/>
        </w:rPr>
        <w:t xml:space="preserve">, en </w:t>
      </w:r>
      <w:r>
        <w:t>I Activate You to Affect Me</w:t>
      </w:r>
      <w:r>
        <w:rPr>
          <w:rFonts w:ascii="Times New Roman" w:hAnsi="Times New Roman" w:cs="Times New Roman"/>
        </w:rPr>
        <w:t xml:space="preserve">: </w:t>
      </w:r>
      <w:r>
        <w:t>Affectivating as a Cultural Psychological Phenomenon, cap. 4</w:t>
      </w:r>
      <w:r>
        <w:rPr>
          <w:rFonts w:ascii="Times New Roman" w:hAnsi="Times New Roman" w:cs="Times New Roman"/>
        </w:rPr>
        <w:t xml:space="preserve"> (Emerald Publishing, 2018</w:t>
      </w:r>
      <w:r>
        <w:t>).</w:t>
      </w:r>
    </w:p>
  </w:footnote>
  <w:footnote w:id="147">
    <w:p w:rsidRPr="00944258" w:rsidR="00944258" w:rsidP="00944258" w:rsidRDefault="00944258" w14:paraId="57153555" w14:textId="6F450EB5">
      <w:pPr>
        <w:pStyle w:val="FootnoteText"/>
      </w:pPr>
      <w:r>
        <w:rPr>
          <w:rStyle w:val="FootnoteReference"/>
        </w:rPr>
        <w:footnoteRef/>
      </w:r>
      <w:r>
        <w:t xml:space="preserve"> </w:t>
      </w:r>
      <w:r>
        <w:t>En un plano</w:t>
      </w:r>
      <w:r>
        <w:t xml:space="preserve"> básico, véase</w:t>
      </w:r>
      <w:r>
        <w:t xml:space="preserve"> Fabian Beck y Stephan Diehl, </w:t>
      </w:r>
      <w:r>
        <w:t>On</w:t>
      </w:r>
      <w:r>
        <w:t xml:space="preserve"> the congruence of modularity and code </w:t>
      </w:r>
      <w:r>
        <w:t>coupling</w:t>
      </w:r>
      <w:r>
        <w:t xml:space="preserve">, ESEC/FSE ‘11: </w:t>
      </w:r>
      <w:r>
        <w:t>Proceedings of the 19th</w:t>
      </w:r>
      <w:r>
        <w:t xml:space="preserve"> ACM SIGSOFT </w:t>
      </w:r>
      <w:r>
        <w:t>symposium and the 13th European conference on Foundations of</w:t>
      </w:r>
      <w:r>
        <w:t xml:space="preserve"> software</w:t>
      </w:r>
      <w:r>
        <w:t xml:space="preserve"> engineering</w:t>
      </w:r>
      <w:r>
        <w:t xml:space="preserve">, </w:t>
      </w:r>
      <w:r>
        <w:t>pp</w:t>
      </w:r>
      <w:r>
        <w:t>.</w:t>
      </w:r>
      <w:r>
        <w:t xml:space="preserve"> 354–364; disponible en [https://doi.org/10.1145/2025113.202516].</w:t>
      </w:r>
    </w:p>
  </w:footnote>
  <w:footnote w:id="148">
    <w:p w:rsidRPr="00A803E1" w:rsidR="00A803E1" w:rsidRDefault="00A803E1" w14:paraId="467A3E23" w14:textId="79D6371C">
      <w:pPr>
        <w:pStyle w:val="FootnoteText"/>
      </w:pPr>
      <w:r>
        <w:rPr>
          <w:rStyle w:val="FootnoteReference"/>
        </w:rPr>
        <w:footnoteRef/>
      </w:r>
      <w:r>
        <w:t xml:space="preserve"> Larry Catá Backer, </w:t>
      </w:r>
      <w:r>
        <w:t>Next Generation Law</w:t>
      </w:r>
      <w:r>
        <w:rPr>
          <w:i/>
          <w:iCs/>
        </w:rPr>
        <w:t xml:space="preserve">: </w:t>
      </w:r>
      <w:r>
        <w:t>Data-Driven Governance and Accountability Based Regulatory Systems in the West and Social Credit Regimes in China</w:t>
      </w:r>
      <w:r>
        <w:t xml:space="preserve">, 28 </w:t>
      </w:r>
      <w:r w:rsidRPr="004E3A22">
        <w:rPr>
          <w:smallCaps/>
        </w:rPr>
        <w:t xml:space="preserve">S. Cal. Interdisciplinary L.J.</w:t>
      </w:r>
      <w:r>
        <w:t xml:space="preserve"> </w:t>
      </w:r>
      <w:r>
        <w:t>122–172 (2018).</w:t>
      </w:r>
    </w:p>
  </w:footnote>
  <w:footnote w:id="149">
    <w:p w:rsidR="0087065B" w:rsidRDefault="00000000" w14:paraId="48BA7690" w14:textId="77777777">
      <w:pPr>
        <w:pStyle w:val="FootnoteText"/>
      </w:pPr>
      <w:r>
        <w:rPr>
          <w:rStyle w:val="FootnoteReference"/>
        </w:rPr>
        <w:footnoteRef/>
      </w:r>
      <w:r>
        <w:t xml:space="preserve"> Nick Land, </w:t>
      </w:r>
      <w:r>
        <w:t>The Blockchain Revolution and Absolute Time</w:t>
      </w:r>
      <w:r>
        <w:t xml:space="preserve">, en </w:t>
      </w:r>
      <w:r>
        <w:t>The</w:t>
      </w:r>
      <w:r>
        <w:t xml:space="preserve"> Dark Forest: </w:t>
      </w:r>
      <w:r>
        <w:t>Literature</w:t>
      </w:r>
      <w:r>
        <w:t xml:space="preserve">, </w:t>
      </w:r>
      <w:r>
        <w:t>Philosophy, and Digital Arts</w:t>
      </w:r>
      <w:r>
        <w:t xml:space="preserve"> (17 de diciembre de 2016), https://socialecologies.wordpress.com/2016/12/17/nick-land-the-blockchain-revolution-and-absolute-time/.</w:t>
      </w:r>
    </w:p>
  </w:footnote>
  <w:footnote w:id="150">
    <w:p w:rsidR="0087065B" w:rsidRDefault="00000000" w14:paraId="34635E0F" w14:textId="77777777">
      <w:pPr>
        <w:pStyle w:val="FootnoteText"/>
      </w:pPr>
      <w:r>
        <w:rPr>
          <w:rStyle w:val="FootnoteReference"/>
        </w:rPr>
        <w:footnoteRef/>
      </w:r>
      <w:r>
        <w:t xml:space="preserve"> Ibíd.</w:t>
      </w:r>
    </w:p>
  </w:footnote>
  <w:footnote w:id="151">
    <w:p w:rsidR="0087065B" w:rsidRDefault="00000000" w14:paraId="631C46EE" w14:textId="77777777">
      <w:pPr>
        <w:pStyle w:val="FootnoteText"/>
      </w:pPr>
      <w:r>
        <w:rPr>
          <w:rStyle w:val="FootnoteReference"/>
        </w:rPr>
        <w:footnoteRef/>
      </w:r>
      <w:r>
        <w:t xml:space="preserve"> Ricardo Pérez-Marco, </w:t>
      </w:r>
      <w:r>
        <w:t>Blockchain Time and Heisenberg Uncertainty Principle</w:t>
      </w:r>
      <w:r>
        <w:t xml:space="preserve"> (</w:t>
      </w:r>
      <w:r>
        <w:t>documento de trabajo</w:t>
      </w:r>
      <w:r>
        <w:t>,</w:t>
      </w:r>
      <w:r>
        <w:t xml:space="preserve"> CNRS, IMJ-PRG</w:t>
      </w:r>
      <w:r>
        <w:t>,</w:t>
      </w:r>
      <w:r>
        <w:t xml:space="preserve"> </w:t>
      </w:r>
      <w:r>
        <w:t xml:space="preserve">Labex </w:t>
      </w:r>
      <w:r>
        <w:t xml:space="preserve">RéFi, 2016) (en poder del autor).</w:t>
      </w:r>
    </w:p>
  </w:footnote>
  <w:footnote w:id="152">
    <w:p w:rsidR="0087065B" w:rsidRDefault="00000000" w14:paraId="4ED9FE5D" w14:textId="77777777">
      <w:pPr>
        <w:pStyle w:val="FootnoteText"/>
      </w:pPr>
      <w:r>
        <w:rPr>
          <w:rStyle w:val="FootnoteReference"/>
        </w:rPr>
        <w:footnoteRef/>
      </w:r>
      <w:r>
        <w:t xml:space="preserve"> Bin Chen, Pan Feng y </w:t>
      </w:r>
      <w:r>
        <w:t xml:space="preserve">Dechuang </w:t>
      </w:r>
      <w:r>
        <w:t xml:space="preserve">Huang, «Bitcoin: A Non-Continuous Time System», arXiv:2501.11091 (última revisión: 15 de octubre de 2026), https://arxiv.org/abs/2501.11091.</w:t>
      </w:r>
    </w:p>
  </w:footnote>
  <w:footnote w:id="153">
    <w:p w:rsidR="0087065B" w:rsidRDefault="00000000" w14:paraId="1C0010D3" w14:textId="77777777">
      <w:pPr>
        <w:pStyle w:val="FootnoteText"/>
      </w:pPr>
      <w:r>
        <w:rPr>
          <w:rStyle w:val="FootnoteReference"/>
        </w:rPr>
        <w:footnoteRef/>
      </w:r>
      <w:r>
        <w:t xml:space="preserve"> Calum Bowden, «Forking in Time: Blockchains and a Political Economy of Absolute Succession», 7(1) A Peer-Reviewed Journal About 140, 140–50 (2018).</w:t>
      </w:r>
    </w:p>
  </w:footnote>
  <w:footnote w:id="154">
    <w:p w:rsidR="0087065B" w:rsidRDefault="00000000" w14:paraId="49923CBA" w14:textId="77777777">
      <w:pPr>
        <w:pStyle w:val="FootnoteText"/>
      </w:pPr>
      <w:r>
        <w:rPr>
          <w:rStyle w:val="FootnoteReference"/>
        </w:rPr>
        <w:footnoteRef/>
      </w:r>
      <w:r>
        <w:t xml:space="preserve"> Land, supra nota 152.</w:t>
      </w:r>
    </w:p>
  </w:footnote>
  <w:footnote w:id="155">
    <w:p w:rsidR="0087065B" w:rsidRDefault="00000000" w14:paraId="0A308FC1" w14:textId="77777777">
      <w:pPr>
        <w:pStyle w:val="FootnoteText"/>
      </w:pPr>
      <w:r>
        <w:rPr>
          <w:rStyle w:val="FootnoteReference"/>
        </w:rPr>
        <w:footnoteRef/>
      </w:r>
      <w:r>
        <w:t xml:space="preserve"> </w:t>
      </w:r>
      <w:r>
        <w:t xml:space="preserve">Ruwangathandula </w:t>
      </w:r>
      <w:r>
        <w:t xml:space="preserve">Konara </w:t>
      </w:r>
      <w:r>
        <w:t xml:space="preserve">et al., «Time Entangled Quantum Blockchain with Phase Encoding for Classical Data», arXiv:2507.14839 (última revisión: 17 de junio de 2026), https://arxiv.org/html/2507.14839 (que combina representaciones de estado de Bell codificadas en fase de bloques clásicos con entrelazamiento temporal de Greenberger–Horne–Zeilinger generado de manera recursiva, de modo que «los bloques pasados dejan de existir» y solo permanece accesible el estado más reciente, totalmente encadenado, preservando así una sucesión temporal estricta a pesar de la introducción de una codificación no clásica basada en la fase).</w:t>
      </w:r>
    </w:p>
  </w:footnote>
  <w:footnote w:id="156">
    <w:p w:rsidRPr="002A3D80" w:rsidR="002A3D80" w:rsidRDefault="002A3D80" w14:paraId="447E6F14" w14:textId="079D396B">
      <w:pPr>
        <w:pStyle w:val="FootnoteText"/>
      </w:pPr>
      <w:r>
        <w:rPr>
          <w:rStyle w:val="FootnoteReference"/>
        </w:rPr>
        <w:footnoteRef/>
      </w:r>
      <w:r>
        <w:t xml:space="preserve"> </w:t>
      </w:r>
      <w:r w:rsidRPr="004E3A22">
        <w:t xml:space="preserve">Véanse los ensayos en Angelo Corallo, Giuseppina Passiante y Andrea Prencipe, </w:t>
      </w:r>
      <w:r w:rsidRPr="004E3A22">
        <w:rPr>
          <w:smallCaps/>
        </w:rPr>
        <w:t xml:space="preserve">The Digital Business Ecosystem </w:t>
      </w:r>
      <w:r w:rsidRPr="004E3A22">
        <w:t xml:space="preserve">(E Elgar,</w:t>
      </w:r>
      <w:r>
        <w:t xml:space="preserve"> 2007).</w:t>
      </w:r>
    </w:p>
  </w:footnote>
  <w:footnote w:id="157">
    <w:p w:rsidRPr="00334DF3" w:rsidR="00334DF3" w:rsidRDefault="00334DF3" w14:paraId="5E989609" w14:textId="2BA48CF1">
      <w:pPr>
        <w:pStyle w:val="FootnoteText"/>
      </w:pPr>
      <w:r>
        <w:rPr>
          <w:rStyle w:val="FootnoteReference"/>
        </w:rPr>
        <w:footnoteRef/>
      </w:r>
      <w:r>
        <w:t xml:space="preserve"> Karina Vida, </w:t>
      </w:r>
      <w:r>
        <w:t>Language After the Human—A Distant Echo to Lars Gustafsson’s ‘The Machines,’</w:t>
      </w:r>
      <w:r>
        <w:t xml:space="preserve"> 6(3) </w:t>
      </w:r>
      <w:r>
        <w:rPr>
          <w:smallCaps/>
        </w:rPr>
        <w:t>Technology and Language</w:t>
      </w:r>
      <w:r>
        <w:t xml:space="preserve"> 144-150 (2025).</w:t>
      </w:r>
    </w:p>
  </w:footnote>
  <w:footnote w:id="158">
    <w:p w:rsidRPr="004A1521" w:rsidR="004A1521" w:rsidP="004A1521" w:rsidRDefault="004A1521" w14:paraId="1BCBFC89" w14:textId="1FD04477">
      <w:pPr>
        <w:pStyle w:val="FootnoteText"/>
      </w:pPr>
      <w:r>
        <w:rPr>
          <w:rStyle w:val="FootnoteReference"/>
        </w:rPr>
        <w:footnoteRef/>
      </w:r>
      <w:r>
        <w:t xml:space="preserve"> </w:t>
      </w:r>
      <w:r>
        <w:t xml:space="preserve">Joseph Raz, </w:t>
      </w:r>
      <w:r w:rsidRPr="004A1521">
        <w:rPr>
          <w:i/>
          <w:iCs/>
        </w:rPr>
        <w:t xml:space="preserve">«The Rule of Law and Its Virtue</w:t>
      </w:r>
      <w:r>
        <w:t xml:space="preserve">», 93 </w:t>
      </w:r>
      <w:r w:rsidRPr="004A1521">
        <w:rPr>
          <w:smallCaps/>
        </w:rPr>
        <w:t xml:space="preserve">Law Q. Rev.</w:t>
      </w:r>
      <w:r>
        <w:t xml:space="preserve"> 195 (1977)</w:t>
      </w:r>
      <w:r>
        <w:t xml:space="preserve">; </w:t>
      </w:r>
      <w:r w:rsidRPr="004A1521">
        <w:rPr>
          <w:smallCaps/>
        </w:rPr>
        <w:t xml:space="preserve">Lon L. Fuller, The Morality of Law </w:t>
      </w:r>
      <w:r>
        <w:t xml:space="preserve">(ed. rev. 1969). </w:t>
      </w:r>
      <w:r>
        <w:t xml:space="preserve">Se podría decir que </w:t>
      </w:r>
      <w:r>
        <w:t xml:space="preserve">tanto </w:t>
      </w:r>
      <w:r>
        <w:t xml:space="preserve">Raz como Fuller </w:t>
      </w:r>
      <w:r>
        <w:t xml:space="preserve">razonan que el derecho no puede funcionar como tal si no puede guiar la conducta. Ninguno de los dos afirma que siempre lo logre. </w:t>
      </w:r>
      <w:r>
        <w:t xml:space="preserve">Si uno pasa del éxito al alcance, entonces, por supuesto, debería poder suponer que el derecho siempre llega, pero que ese alcance no siempre es efectivo tal como podría juzgarse desde la ideología del alcance. </w:t>
      </w:r>
    </w:p>
  </w:footnote>
  <w:footnote w:id="159">
    <w:p w:rsidRPr="004A1521" w:rsidR="004A1521" w:rsidRDefault="004A1521" w14:paraId="6E66A215" w14:textId="400C8B39">
      <w:pPr>
        <w:pStyle w:val="FootnoteText"/>
      </w:pPr>
      <w:r>
        <w:rPr>
          <w:rStyle w:val="FootnoteReference"/>
        </w:rPr>
        <w:footnoteRef/>
      </w:r>
      <w:r>
        <w:t xml:space="preserve"> Véase, por ejemplo, </w:t>
      </w:r>
      <w:r w:rsidRPr="004A1521">
        <w:t xml:space="preserve">Joshua A. Kroll et al., </w:t>
      </w:r>
      <w:r>
        <w:t>Accountable Algorithms</w:t>
      </w:r>
      <w:r>
        <w:t xml:space="preserve">, 165 </w:t>
      </w:r>
      <w:r w:rsidRPr="004A1521">
        <w:rPr>
          <w:smallCaps/>
        </w:rPr>
        <w:t xml:space="preserve">U. Pa. L. Rev</w:t>
      </w:r>
      <w:r w:rsidRPr="004A1521">
        <w:t xml:space="preserve">. 633 (2017)</w:t>
      </w:r>
      <w:r>
        <w:t xml:space="preserve">, donde </w:t>
      </w:r>
      <w:r>
        <w:t xml:space="preserve">puede </w:t>
      </w:r>
      <w:r>
        <w:t>entenderse</w:t>
      </w:r>
      <w:r>
        <w:t xml:space="preserve"> que los autores</w:t>
      </w:r>
      <w:r>
        <w:t xml:space="preserve"> </w:t>
      </w:r>
      <w:r>
        <w:t>sostienen que la</w:t>
      </w:r>
      <w:r>
        <w:t xml:space="preserve"> transparencia y las herramientas técnicas permiten la observación y la traducción, </w:t>
      </w:r>
      <w:r>
        <w:t>aunque cabe dudar de</w:t>
      </w:r>
      <w:r>
        <w:t xml:space="preserve"> que estas se «traduzcan» en control o en </w:t>
      </w:r>
      <w:r>
        <w:t xml:space="preserve">transposición entre el </w:t>
      </w:r>
      <w:r>
        <w:t>Estado</w:t>
      </w:r>
      <w:r>
        <w:t xml:space="preserve"> de derecho y el código o la codificación. </w:t>
      </w:r>
      <w:r>
        <w:t>Cf.</w:t>
      </w:r>
      <w:r>
        <w:t xml:space="preserve"> </w:t>
      </w:r>
      <w:r w:rsidRPr="004A1521">
        <w:t xml:space="preserve">Jenna Burrell, </w:t>
      </w:r>
      <w:r>
        <w:t>How</w:t>
      </w:r>
      <w:r>
        <w:rPr>
          <w:i/>
          <w:iCs/>
        </w:rPr>
        <w:t xml:space="preserve"> the Machine ‘Thinks’: Understanding Opacity in Machine Learning </w:t>
      </w:r>
      <w:r>
        <w:t>Algorithms</w:t>
      </w:r>
      <w:r>
        <w:t xml:space="preserve">, 3 </w:t>
      </w:r>
      <w:r w:rsidRPr="004A1521">
        <w:rPr>
          <w:smallCaps/>
        </w:rPr>
        <w:t xml:space="preserve">Big Data &amp; Soc’y</w:t>
      </w:r>
      <w:r w:rsidRPr="004A1521">
        <w:t xml:space="preserve">, n.º 1, 2016, art. 2053951715622512 </w:t>
      </w:r>
      <w:r>
        <w:t>(identifica</w:t>
      </w:r>
      <w:r>
        <w:t xml:space="preserve"> </w:t>
      </w:r>
      <w:r>
        <w:t xml:space="preserve">la opacidad que surge de las características de los algoritmos de aprendizaje automático y </w:t>
      </w:r>
      <w:r>
        <w:t xml:space="preserve">de </w:t>
      </w:r>
      <w:r>
        <w:t xml:space="preserve">la escala necesaria para </w:t>
      </w:r>
      <w:r>
        <w:t>emplearlos</w:t>
      </w:r>
      <w:r>
        <w:t xml:space="preserve">).</w:t>
      </w:r>
    </w:p>
  </w:footnote>
  <w:footnote w:id="160">
    <w:p w:rsidRPr="00FC080B" w:rsidR="00FC080B" w:rsidRDefault="00FC080B" w14:paraId="37018505" w14:textId="1E2421D0">
      <w:pPr>
        <w:pStyle w:val="FootnoteText"/>
      </w:pPr>
      <w:r>
        <w:rPr>
          <w:rStyle w:val="FootnoteReference"/>
        </w:rPr>
        <w:footnoteRef/>
      </w:r>
      <w:r>
        <w:t xml:space="preserve"> </w:t>
      </w:r>
      <w:r>
        <w:t>Cf.</w:t>
      </w:r>
      <w:r>
        <w:t xml:space="preserve"> </w:t>
      </w:r>
      <w:r w:rsidRPr="00FC080B">
        <w:t xml:space="preserve">Roger Brownsword, </w:t>
      </w:r>
      <w:r>
        <w:t>Technological</w:t>
      </w:r>
      <w:r>
        <w:rPr>
          <w:i/>
          <w:iCs/>
        </w:rPr>
        <w:t xml:space="preserve"> Management and the Rule of </w:t>
      </w:r>
      <w:r>
        <w:t>Law</w:t>
      </w:r>
      <w:r>
        <w:t xml:space="preserve">, 8 </w:t>
      </w:r>
      <w:r w:rsidRPr="00FC080B">
        <w:rPr>
          <w:smallCaps/>
        </w:rPr>
        <w:t xml:space="preserve">Law, Innovation &amp; Tech</w:t>
      </w:r>
      <w:r w:rsidRPr="00FC080B">
        <w:t xml:space="preserve">. 100 (2016)</w:t>
      </w:r>
      <w:r>
        <w:t xml:space="preserve">, </w:t>
      </w:r>
      <w:r>
        <w:t>quien puede leerse</w:t>
      </w:r>
      <w:r>
        <w:t xml:space="preserve"> como </w:t>
      </w:r>
      <w:r>
        <w:t xml:space="preserve">si </w:t>
      </w:r>
      <w:r>
        <w:t>preguntara si</w:t>
      </w:r>
      <w:r>
        <w:t xml:space="preserve"> los principios de legalidad de Fuller </w:t>
      </w:r>
      <w:r>
        <w:t xml:space="preserve">(</w:t>
      </w:r>
      <w:r w:rsidRPr="004A1521">
        <w:rPr>
          <w:smallCaps/>
        </w:rPr>
        <w:t xml:space="preserve">The Morality of Law </w:t>
      </w:r>
      <w:r>
        <w:t>[ed. rev</w:t>
      </w:r>
      <w:r>
        <w:t>.,</w:t>
      </w:r>
      <w:r>
        <w:t xml:space="preserve"> 1969]</w:t>
      </w:r>
      <w:r>
        <w:t xml:space="preserve">) </w:t>
      </w:r>
      <w:r>
        <w:t xml:space="preserve">y el Estado de derecho </w:t>
      </w:r>
      <w:r>
        <w:t>pueden aplicarse</w:t>
      </w:r>
      <w:r>
        <w:t>, y de qué modo,</w:t>
      </w:r>
      <w:r>
        <w:t xml:space="preserve"> a un entorno regulatorio gestionado por</w:t>
      </w:r>
      <w:r>
        <w:t xml:space="preserve"> la</w:t>
      </w:r>
      <w:r>
        <w:t xml:space="preserve"> tecnología </w:t>
      </w:r>
      <w:r>
        <w:t xml:space="preserve">y </w:t>
      </w:r>
      <w:r>
        <w:t>no por reglas</w:t>
      </w:r>
      <w:r>
        <w:t>. Véase también</w:t>
      </w:r>
      <w:r>
        <w:t>,</w:t>
      </w:r>
      <w:r>
        <w:t xml:space="preserve"> sobre este punto, </w:t>
      </w:r>
      <w:r w:rsidRPr="00FC080B">
        <w:rPr>
          <w:i/>
          <w:iCs/>
          <w:smallCaps/>
        </w:rPr>
        <w:t xml:space="preserve">Primavera De Filippi y Aaron Wright, </w:t>
      </w:r>
      <w:r w:rsidRPr="00FC080B">
        <w:rPr>
          <w:rStyle w:val="Emphasis"/>
          <w:i w:val="0"/>
          <w:iCs w:val="0"/>
          <w:smallCaps/>
        </w:rPr>
        <w:t xml:space="preserve">Blockchain and the Law: The Rule of Code </w:t>
      </w:r>
      <w:r>
        <w:t xml:space="preserve">(2018).</w:t>
      </w:r>
    </w:p>
  </w:footnote>
  <w:footnote w:id="161">
    <w:p w:rsidRPr="00543BB9" w:rsidR="00543BB9" w:rsidRDefault="00543BB9" w14:paraId="3A1B2118" w14:textId="30E49288">
      <w:pPr>
        <w:pStyle w:val="FootnoteText"/>
      </w:pPr>
      <w:r>
        <w:rPr>
          <w:rStyle w:val="FootnoteReference"/>
        </w:rPr>
        <w:footnoteRef/>
      </w:r>
      <w:r>
        <w:t xml:space="preserve"> Cf., </w:t>
      </w:r>
      <w:r w:rsidRPr="00543BB9">
        <w:rPr>
          <w:smallCaps/>
        </w:rPr>
        <w:t xml:space="preserve">Roger Brownsword, Law, Technology and Society: Reimagining the Regulatory Environment </w:t>
      </w:r>
      <w:r w:rsidRPr="00543BB9">
        <w:t xml:space="preserve">(2019) </w:t>
      </w:r>
      <w:r>
        <w:t xml:space="preserve">(reimaginando </w:t>
      </w:r>
      <w:r w:rsidRPr="00543BB9">
        <w:t xml:space="preserve">el Estado de derecho como una restricción al ejercicio arbitrario del poder, ya sea que se ejerza a través de normas o de medidas tecnológicas).</w:t>
      </w:r>
    </w:p>
  </w:footnote>
  <w:footnote w:id="162">
    <w:p w:rsidRPr="00155A12" w:rsidR="00155A12" w:rsidP="000328BB" w:rsidRDefault="00155A12" w14:paraId="41773948" w14:textId="236FF44F">
      <w:pPr>
        <w:pStyle w:val="FootnoteText"/>
      </w:pPr>
      <w:r>
        <w:rPr>
          <w:rStyle w:val="FootnoteReference"/>
        </w:rPr>
        <w:footnoteRef/>
      </w:r>
      <w:r w:rsidR="000328BB">
        <w:t xml:space="preserve">  Philip N. Johnson-Laird, </w:t>
      </w:r>
      <w:r w:rsidRPr="004E3A22" w:rsidR="000328BB">
        <w:rPr>
          <w:i/>
          <w:iCs/>
        </w:rPr>
        <w:t xml:space="preserve">Human and Machine Thinking </w:t>
      </w:r>
      <w:r w:rsidR="000328BB">
        <w:t xml:space="preserve">(Psychology Press, Taylor &amp; Francis, 1993) («Quizás te preguntes por qué estoy tan seguro de la estupidez de nuestras máquinas. La respuesta es que aún no han ideado teorías sobre cómo creen que piensan, y sin embargo las entendemos bien». Ibíd., p. xv).</w:t>
      </w:r>
    </w:p>
  </w:footnote>
  <w:footnote w:id="163">
    <w:p w:rsidRPr="00EF62D0" w:rsidR="00012504" w:rsidP="00012504" w:rsidRDefault="00012504" w14:paraId="451DF03B" w14:textId="6E550437">
      <w:pPr>
        <w:pStyle w:val="FootnoteText"/>
        <w:rPr>
          <w:rFonts w:ascii="Times New Roman" w:hAnsi="Times New Roman" w:cs="Times New Roman"/>
        </w:rPr>
      </w:pPr>
      <w:r w:rsidRPr="00EF62D0">
        <w:rPr>
          <w:rStyle w:val="FootnoteReference"/>
          <w:rFonts w:ascii="Times New Roman" w:hAnsi="Times New Roman" w:cs="Times New Roman"/>
        </w:rPr>
        <w:footnoteRef/>
      </w:r>
      <w:r w:rsidRPr="00EF62D0">
        <w:rPr>
          <w:rFonts w:ascii="Times New Roman" w:hAnsi="Times New Roman" w:cs="Times New Roman"/>
        </w:rPr>
        <w:t xml:space="preserve"> Podríamos llegar a un punto de comprensión básica, pero no es probable que se alcance una transparencia del 100 %. Algunos investigadores creen que debemos entrenarnos para pensar más como las máquinas (de manera multidimensional, probabilística y menos lineal</w:t>
      </w:r>
      <w:r w:rsidRPr="00EF62D0" w:rsidR="006C1A1D">
        <w:rPr>
          <w:rFonts w:ascii="Times New Roman" w:hAnsi="Times New Roman" w:cs="Times New Roman"/>
        </w:rPr>
        <w:t xml:space="preserve">). </w:t>
      </w:r>
      <w:r>
        <w:rPr>
          <w:rFonts w:ascii="Times New Roman" w:hAnsi="Times New Roman" w:cs="Times New Roman"/>
        </w:rPr>
        <w:t xml:space="preserve">Por ejemplo, los sistemas de «computación </w:t>
      </w:r>
      <w:r>
        <w:t>neurosimbólica»</w:t>
      </w:r>
      <w:r>
        <w:rPr>
          <w:rFonts w:ascii="Times New Roman" w:hAnsi="Times New Roman" w:cs="Times New Roman"/>
        </w:rPr>
        <w:t xml:space="preserve"> combinan el razonamiento basado en símbolos con el aprendizaje neuronal. Herramientas de interpretabilidad, entrenamiento de sistemas de IA con restricciones de explicabilidad incorporadas y desarrollo de interfaces de usuario que traduzcan el razonamiento de las máquinas en conceptos comprensibles para las personas.</w:t>
      </w:r>
    </w:p>
  </w:footnote>
  <w:footnote w:id="164">
    <w:p w:rsidRPr="00F578F2" w:rsidR="00155A12" w:rsidP="00F578F2" w:rsidRDefault="00155A12" w14:paraId="7375E35E" w14:textId="4252E4E2">
      <w:pPr>
        <w:pStyle w:val="FootnoteText"/>
      </w:pPr>
      <w:r>
        <w:rPr>
          <w:rStyle w:val="FootnoteReference"/>
        </w:rPr>
        <w:footnoteRef/>
      </w:r>
      <w:r>
        <w:t xml:space="preserve"> </w:t>
      </w:r>
      <w:r w:rsidR="00F578F2">
        <w:t xml:space="preserve">Sriraam Natarajan, Saurabh Mathur, Sahil Sidheekh, </w:t>
      </w:r>
      <w:r w:rsidRPr="00F578F2" w:rsidR="00F578F2">
        <w:t xml:space="preserve">Wolfgang Stammer</w:t>
      </w:r>
      <w:r w:rsidR="00F578F2">
        <w:t xml:space="preserve">, </w:t>
      </w:r>
      <w:r w:rsidRPr="00F578F2" w:rsidR="00F578F2">
        <w:t xml:space="preserve">Kristian Kersting</w:t>
      </w:r>
      <w:r w:rsidRPr="004E3A22" w:rsidR="00F578F2">
        <w:t xml:space="preserve">, </w:t>
      </w:r>
      <w:r>
        <w:t>Human-in-the-loop or</w:t>
      </w:r>
      <w:r>
        <w:t xml:space="preserve"> AI-in-the-loop? </w:t>
      </w:r>
      <w:r>
        <w:t>Automate or Collaborate</w:t>
      </w:r>
      <w:r>
        <w:t>?</w:t>
      </w:r>
      <w:r>
        <w:t>, 39(27) AAAI-25 28594-28600</w:t>
      </w:r>
      <w:r>
        <w:t>,</w:t>
      </w:r>
      <w:r>
        <w:t xml:space="preserve"> </w:t>
      </w:r>
      <w:hyperlink w:history="1" r:id="rId6">
        <w:r w:rsidRPr="00AE1030" w:rsidR="00F578F2">
          <w:rPr>
            <w:rStyle w:val="Hyperlink"/>
          </w:rPr>
          <w:t xml:space="preserve">https://doi.org/10.1609/aaai.v39i27.35083</w:t>
        </w:r>
      </w:hyperlink>
      <w:r w:rsidR="00F578F2">
        <w:t xml:space="preserve"> (2025).</w:t>
      </w:r>
    </w:p>
  </w:footnote>
  <w:footnote w:id="165">
    <w:p w:rsidRPr="00EF62D0" w:rsidR="00E81F78" w:rsidP="004E3A22" w:rsidRDefault="00E81F78" w14:paraId="2F51846C" w14:textId="30ADA59A">
      <w:pPr>
        <w:pStyle w:val="CommentText"/>
        <w:rPr>
          <w:rFonts w:ascii="Times New Roman" w:hAnsi="Times New Roman" w:cs="Times New Roman"/>
        </w:rPr>
      </w:pPr>
      <w:r w:rsidRPr="00EF62D0">
        <w:rPr>
          <w:rStyle w:val="FootnoteReference"/>
          <w:rFonts w:ascii="Times New Roman" w:hAnsi="Times New Roman" w:cs="Times New Roman"/>
        </w:rPr>
        <w:footnoteRef/>
      </w:r>
      <w:r w:rsidRPr="00EF62D0">
        <w:rPr>
          <w:rFonts w:ascii="Times New Roman" w:hAnsi="Times New Roman" w:cs="Times New Roman"/>
        </w:rPr>
        <w:t xml:space="preserve"> Lo que llamamos «human-in-the-loop» (cuando los humanos participan directamente en una decisión o la aprueban antes de que se lleve a cabo o de que el sistema proceda) puede adoptar diferentes formas: (1) </w:t>
      </w:r>
      <w:r w:rsidRPr="00EF62D0">
        <w:rPr>
          <w:rFonts w:ascii="Times New Roman" w:hAnsi="Times New Roman" w:cs="Times New Roman"/>
          <w:i/>
          <w:iCs/>
        </w:rPr>
        <w:t xml:space="preserve">Los humanos deben autorizar (firmar); (2) Los humanos deben votar o elegir actualizaciones; (3) Los humanos deben aprobar explícitamente en sistemas con permisos.</w:t>
      </w:r>
      <w:r w:rsidRPr="00EF62D0">
        <w:rPr>
          <w:rFonts w:ascii="Times New Roman" w:hAnsi="Times New Roman" w:cs="Times New Roman"/>
        </w:rPr>
        <w:t xml:space="preserve"> Más allá de eso, también se está desarrollando el «human-on-the-loop» (a posteriori). </w:t>
      </w:r>
      <w:r w:rsidRPr="000328BB" w:rsidR="000328BB">
        <w:rPr>
          <w:rFonts w:ascii="Times New Roman" w:hAnsi="Times New Roman" w:cs="Times New Roman"/>
        </w:rPr>
        <w:t xml:space="preserve">Eduardo Mosqueira-Rey, Elena Hernández-Pereira, David Alonso-Ríos, José </w:t>
      </w:r>
      <w:r w:rsidRPr="000328BB" w:rsidR="000328BB">
        <w:rPr>
          <w:rFonts w:ascii="Times New Roman" w:hAnsi="Times New Roman" w:cs="Times New Roman"/>
        </w:rPr>
        <w:t xml:space="preserve">Bobes-Bascarán </w:t>
      </w:r>
      <w:r w:rsidRPr="000328BB" w:rsidR="000328BB">
        <w:rPr>
          <w:rFonts w:ascii="Times New Roman" w:hAnsi="Times New Roman" w:cs="Times New Roman"/>
        </w:rPr>
        <w:t xml:space="preserve">y Ángel Fernández-Leal</w:t>
      </w:r>
      <w:r w:rsidR="000328BB">
        <w:rPr>
          <w:rFonts w:ascii="Times New Roman" w:hAnsi="Times New Roman" w:cs="Times New Roman"/>
        </w:rPr>
        <w:t xml:space="preserve">, </w:t>
      </w:r>
      <w:r w:rsidRPr="000328BB" w:rsidR="000328BB">
        <w:rPr>
          <w:rFonts w:ascii="Times New Roman" w:hAnsi="Times New Roman" w:cs="Times New Roman"/>
        </w:rPr>
        <w:t xml:space="preserve">«Human-in-the-loop machine learning: a state of the art</w:t>
      </w:r>
      <w:r w:rsidR="000328BB">
        <w:rPr>
          <w:rFonts w:ascii="Times New Roman" w:hAnsi="Times New Roman" w:cs="Times New Roman"/>
        </w:rPr>
        <w:t xml:space="preserve">», 56 </w:t>
      </w:r>
      <w:r w:rsidRPr="000328BB" w:rsidR="000328BB">
        <w:rPr>
          <w:rFonts w:ascii="Times New Roman" w:hAnsi="Times New Roman" w:cs="Times New Roman"/>
        </w:rPr>
        <w:t xml:space="preserve">Artificial Intelligence Review 3005–3054 </w:t>
      </w:r>
      <w:r w:rsidR="000328BB">
        <w:rPr>
          <w:rFonts w:ascii="Times New Roman" w:hAnsi="Times New Roman" w:cs="Times New Roman"/>
        </w:rPr>
        <w:t xml:space="preserve">(2023).</w:t>
      </w:r>
    </w:p>
  </w:footnote>
  <w:footnote w:id="166">
    <w:p w:rsidRPr="004E3A22" w:rsidR="00F578F2" w:rsidRDefault="00F578F2" w14:paraId="192242D7" w14:textId="007A9D18">
      <w:pPr>
        <w:pStyle w:val="FootnoteText"/>
        <w:rPr>
          <w:rFonts w:ascii="Cambria" w:hAnsi="Cambria"/>
        </w:rPr>
      </w:pPr>
      <w:r>
        <w:rPr>
          <w:rStyle w:val="FootnoteReference"/>
        </w:rPr>
        <w:footnoteRef/>
      </w:r>
      <w:r>
        <w:t xml:space="preserve"> </w:t>
      </w:r>
      <w:r w:rsidRPr="004E3A22">
        <w:t xml:space="preserve">Véase Klaus Bruhn Jensen, «Encoding and Decoding in the Human-Machine Discourse», </w:t>
      </w:r>
      <w:r>
        <w:rPr>
          <w:rStyle w:val="Emphasis"/>
        </w:rPr>
        <w:t xml:space="preserve">Communication Theory</w:t>
      </w:r>
      <w:r>
        <w:t xml:space="preserve">, qtaf022,</w:t>
      </w:r>
      <w:hyperlink w:history="1" r:id="rId7">
        <w:r w:rsidRPr="00F578F2">
          <w:rPr>
            <w:rStyle w:val="Hyperlink"/>
          </w:rPr>
          <w:t xml:space="preserve"> https://doi.org/10.1093/ct/qtaf022 </w:t>
        </w:r>
        <w:r w:rsidRPr="00AE1030">
          <w:rPr>
            <w:rStyle w:val="Hyperlink"/>
          </w:rPr>
          <w:t xml:space="preserve">(16</w:t>
        </w:r>
      </w:hyperlink>
      <w:r w:rsidRPr="004E3A22">
        <w:rPr>
          <w:rFonts w:ascii="Cambria" w:hAnsi="Cambria"/>
        </w:rPr>
        <w:t xml:space="preserve"> de septiembre de 2025).</w:t>
      </w:r>
    </w:p>
  </w:footnote>
  <w:footnote w:id="167">
    <w:p w:rsidRPr="00F578F2" w:rsidR="00F578F2" w:rsidP="00520E84" w:rsidRDefault="00F578F2" w14:paraId="68CD33EB" w14:textId="509FC3F7">
      <w:pPr>
        <w:pStyle w:val="FootnoteText"/>
      </w:pPr>
      <w:r>
        <w:rPr>
          <w:rStyle w:val="FootnoteReference"/>
        </w:rPr>
        <w:footnoteRef/>
      </w:r>
      <w:r>
        <w:t xml:space="preserve"> Véase, por ejemplo, </w:t>
      </w:r>
      <w:r>
        <w:t>Florence G’sell</w:t>
      </w:r>
      <w:r>
        <w:t xml:space="preserve"> y</w:t>
      </w:r>
      <w:r>
        <w:t xml:space="preserve"> Florian </w:t>
      </w:r>
      <w:r>
        <w:t xml:space="preserve">Martin-Bariteau, </w:t>
      </w:r>
      <w:r>
        <w:t>The Impact of Blockchains for Human Rights</w:t>
      </w:r>
      <w:r>
        <w:t xml:space="preserve">, </w:t>
      </w:r>
      <w:r>
        <w:t>Democracy, and the Rule of Law</w:t>
      </w:r>
      <w:r>
        <w:t xml:space="preserve">, </w:t>
      </w:r>
      <w:r>
        <w:t>Information Society Department</w:t>
      </w:r>
      <w:r>
        <w:t xml:space="preserve"> </w:t>
      </w:r>
      <w:r w:rsidR="006C1A1D">
        <w:t xml:space="preserve">DGI (</w:t>
      </w:r>
      <w:r w:rsidR="00520E84">
        <w:t xml:space="preserve">2022)06 (Consejo de Europa, 2022).</w:t>
      </w:r>
    </w:p>
  </w:footnote>
  <w:footnote w:id="168">
    <w:p w:rsidR="0087065B" w:rsidRDefault="00000000" w14:paraId="1E0F36EA" w14:textId="77777777">
      <w:pPr>
        <w:pStyle w:val="FootnoteText"/>
      </w:pPr>
      <w:r>
        <w:rPr>
          <w:rStyle w:val="FootnoteReference"/>
        </w:rPr>
        <w:footnoteRef/>
      </w:r>
      <w:r>
        <w:t xml:space="preserve"> Backer, Lección siete, supra nota 150.</w:t>
      </w:r>
    </w:p>
  </w:footnote>
  <w:footnote w:id="169">
    <w:p w:rsidR="004817E5" w:rsidRDefault="00000000" w14:paraId="30ADA45B"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Primavera De Filippi, Moshed Mannan y Wessel </w:t>
      </w:r>
      <w:r>
        <w:rPr>
          <w:rFonts w:ascii="Times New Roman" w:hAnsi="Times New Roman" w:cs="Times New Roman"/>
        </w:rPr>
        <w:t xml:space="preserve">Reijers</w:t>
      </w:r>
      <w:r>
        <w:rPr>
          <w:rFonts w:ascii="Times New Roman" w:hAnsi="Times New Roman" w:cs="Times New Roman"/>
        </w:rPr>
        <w:t xml:space="preserve">, </w:t>
      </w:r>
      <w:r>
        <w:t>Blockchain</w:t>
      </w:r>
      <w:r>
        <w:rPr>
          <w:rFonts w:ascii="Times New Roman" w:hAnsi="Times New Roman" w:cs="Times New Roman"/>
        </w:rPr>
        <w:t xml:space="preserve"> as a Confidence Machine: The Problem of Trust and Challenges of </w:t>
      </w:r>
      <w:r>
        <w:t>Governance</w:t>
      </w:r>
      <w:r>
        <w:rPr>
          <w:rFonts w:ascii="Times New Roman" w:hAnsi="Times New Roman" w:cs="Times New Roman"/>
        </w:rPr>
        <w:t xml:space="preserve">, 62 </w:t>
      </w:r>
      <w:r>
        <w:rPr>
          <w:rFonts w:ascii="Times New Roman" w:hAnsi="Times New Roman" w:cs="Times New Roman"/>
          <w:smallCaps/>
        </w:rPr>
        <w:t xml:space="preserve">Technology </w:t>
      </w:r>
      <w:r>
        <w:rPr>
          <w:rFonts w:ascii="Times New Roman" w:hAnsi="Times New Roman" w:cs="Times New Roman"/>
        </w:rPr>
        <w:t xml:space="preserve">&amp; </w:t>
      </w:r>
      <w:r>
        <w:rPr>
          <w:rFonts w:ascii="Times New Roman" w:hAnsi="Times New Roman" w:cs="Times New Roman"/>
          <w:smallCaps/>
        </w:rPr>
        <w:t xml:space="preserve">Society</w:t>
      </w:r>
      <w:r>
        <w:rPr>
          <w:rFonts w:ascii="Times New Roman" w:hAnsi="Times New Roman" w:cs="Times New Roman"/>
        </w:rPr>
        <w:t xml:space="preserve"> 101284 (2020); disponible en [https://doi.org/10.1016/j.techsoc.2020.101284]. La cuestión de la confianza, sin embargo, es un desafío generalizado para la regulación, del cual solo un aspecto </w:t>
      </w:r>
      <w:r>
        <w:t>atañe a los</w:t>
      </w:r>
      <w:r>
        <w:rPr>
          <w:rFonts w:ascii="Times New Roman" w:hAnsi="Times New Roman" w:cs="Times New Roman"/>
        </w:rPr>
        <w:t xml:space="preserve"> sistemas de datos automatizados </w:t>
      </w:r>
      <w:r>
        <w:t>que representa blockchain</w:t>
      </w:r>
      <w:r>
        <w:rPr>
          <w:rFonts w:ascii="Times New Roman" w:hAnsi="Times New Roman" w:cs="Times New Roman"/>
        </w:rPr>
        <w:t xml:space="preserve">. Véase, por ejemplo, Theo Araujo, Anna Brosius, Andreas Goldberg, Judith Möller y Claes H. De Vresse, </w:t>
      </w:r>
      <w:r>
        <w:t>Humans</w:t>
      </w:r>
      <w:r>
        <w:rPr>
          <w:rFonts w:ascii="Times New Roman" w:hAnsi="Times New Roman" w:cs="Times New Roman"/>
        </w:rPr>
        <w:t xml:space="preserve"> vs. AI: </w:t>
      </w:r>
      <w:r>
        <w:t>The Role of Trust</w:t>
      </w:r>
      <w:r>
        <w:rPr>
          <w:rFonts w:ascii="Times New Roman" w:hAnsi="Times New Roman" w:cs="Times New Roman"/>
        </w:rPr>
        <w:t xml:space="preserve">, </w:t>
      </w:r>
      <w:r>
        <w:t>Political Attitudes, and Individual Characteristics on Perceptions about Automated Decision Making Across Europe</w:t>
      </w:r>
      <w:r>
        <w:rPr>
          <w:rFonts w:ascii="Times New Roman" w:hAnsi="Times New Roman" w:cs="Times New Roman"/>
        </w:rPr>
        <w:t xml:space="preserve">, 17 </w:t>
      </w:r>
      <w:r>
        <w:rPr>
          <w:rFonts w:ascii="Times New Roman" w:hAnsi="Times New Roman" w:cs="Times New Roman"/>
          <w:smallCaps/>
        </w:rPr>
        <w:t xml:space="preserve">International </w:t>
      </w:r>
      <w:r>
        <w:rPr>
          <w:rFonts w:ascii="Times New Roman" w:hAnsi="Times New Roman" w:cs="Times New Roman"/>
          <w:smallCaps/>
        </w:rPr>
        <w:t xml:space="preserve">Journal of </w:t>
      </w:r>
      <w:r>
        <w:rPr>
          <w:rFonts w:ascii="Times New Roman" w:hAnsi="Times New Roman" w:cs="Times New Roman"/>
          <w:smallCaps/>
        </w:rPr>
        <w:t xml:space="preserve">Communication</w:t>
      </w:r>
      <w:r>
        <w:rPr>
          <w:rFonts w:ascii="Times New Roman" w:hAnsi="Times New Roman" w:cs="Times New Roman"/>
        </w:rPr>
        <w:t xml:space="preserve"> 6222-6249 (2023); Jakob Schoeffer, Yvette Machowski y Niklas Kuehl, </w:t>
      </w:r>
      <w:r>
        <w:t>A</w:t>
      </w:r>
      <w:r>
        <w:rPr>
          <w:rFonts w:ascii="Times New Roman" w:hAnsi="Times New Roman" w:cs="Times New Roman"/>
        </w:rPr>
        <w:t xml:space="preserve"> Study on Fairness and Trust Perceptions in Automated Decision </w:t>
      </w:r>
      <w:r>
        <w:t>Making</w:t>
      </w:r>
      <w:r>
        <w:rPr>
          <w:rFonts w:ascii="Times New Roman" w:hAnsi="Times New Roman" w:cs="Times New Roman"/>
        </w:rPr>
        <w:t xml:space="preserve">, arXiv:2103.04757 [cs.AI] (8 de marzo de 2021); Stephan Grimmelikhuijsen, </w:t>
      </w:r>
      <w:r>
        <w:t>Explaining Why the Computer Says No</w:t>
      </w:r>
      <w:r>
        <w:rPr>
          <w:rFonts w:ascii="Times New Roman" w:hAnsi="Times New Roman" w:cs="Times New Roman"/>
        </w:rPr>
        <w:t xml:space="preserve">: </w:t>
      </w:r>
      <w:r>
        <w:t>Algorithmic Transparency Affects the Perceived Trustworthiness of Automated Decision-Making</w:t>
      </w:r>
      <w:r>
        <w:rPr>
          <w:rFonts w:ascii="Times New Roman" w:hAnsi="Times New Roman" w:cs="Times New Roman"/>
        </w:rPr>
        <w:t xml:space="preserve">, 83(2) </w:t>
      </w:r>
      <w:r>
        <w:rPr>
          <w:rFonts w:ascii="Times New Roman" w:hAnsi="Times New Roman" w:cs="Times New Roman"/>
          <w:smallCaps/>
        </w:rPr>
        <w:t xml:space="preserve">Public </w:t>
      </w:r>
      <w:r>
        <w:rPr>
          <w:rFonts w:ascii="Times New Roman" w:hAnsi="Times New Roman" w:cs="Times New Roman"/>
          <w:smallCaps/>
        </w:rPr>
        <w:t xml:space="preserve">Administration </w:t>
      </w:r>
      <w:r>
        <w:rPr>
          <w:rFonts w:ascii="Times New Roman" w:hAnsi="Times New Roman" w:cs="Times New Roman"/>
          <w:smallCaps/>
        </w:rPr>
        <w:t>Review</w:t>
      </w:r>
      <w:r>
        <w:rPr>
          <w:rFonts w:ascii="Times New Roman" w:hAnsi="Times New Roman" w:cs="Times New Roman"/>
        </w:rPr>
        <w:t xml:space="preserve"> 241-262 (2023).</w:t>
      </w:r>
    </w:p>
  </w:footnote>
  <w:footnote w:id="170">
    <w:p w:rsidRPr="00674C08" w:rsidR="00674C08" w:rsidRDefault="00674C08" w14:paraId="540F862E" w14:textId="2B36F201">
      <w:pPr>
        <w:pStyle w:val="FootnoteText"/>
      </w:pPr>
      <w:r w:rsidRPr="00674C08">
        <w:rPr>
          <w:rStyle w:val="FootnoteReference"/>
        </w:rPr>
        <w:footnoteRef/>
      </w:r>
      <w:r w:rsidRPr="00674C08">
        <w:t xml:space="preserve"> </w:t>
      </w:r>
      <w:r w:rsidRPr="00674C08">
        <w:t xml:space="preserve">Diccionario</w:t>
      </w:r>
      <w:r w:rsidRPr="004E3A22">
        <w:t xml:space="preserve"> de Cambridge</w:t>
      </w:r>
      <w:r w:rsidRPr="004E3A22">
        <w:t xml:space="preserve">, frases; disponible en [</w:t>
      </w:r>
      <w:r w:rsidRPr="00674C08">
        <w:t xml:space="preserve">https://dictionary.cambridge.org/us/dictionary/english/bad-workman-blames-his-tools</w:t>
      </w:r>
      <w:r w:rsidRPr="004E3A22">
        <w:t xml:space="preserve">]</w:t>
      </w:r>
    </w:p>
  </w:footnote>
  <w:footnote w:id="171">
    <w:p w:rsidRPr="00104DD1" w:rsidR="00104DD1" w:rsidP="00104DD1" w:rsidRDefault="00104DD1" w14:paraId="66B84870" w14:textId="1C2DAE94">
      <w:pPr>
        <w:pStyle w:val="FootnoteText"/>
      </w:pPr>
      <w:r>
        <w:rPr>
          <w:rStyle w:val="FootnoteReference"/>
        </w:rPr>
        <w:footnoteRef/>
      </w:r>
      <w:r>
        <w:t xml:space="preserve"> Jeanette A. Lawrence y Jaan Valsiner, </w:t>
      </w:r>
      <w:r>
        <w:t>Making Personal Sense</w:t>
      </w:r>
      <w:r>
        <w:t xml:space="preserve">: </w:t>
      </w:r>
      <w:r>
        <w:t>An Account of Basic Internalization and Externalization Processes</w:t>
      </w:r>
      <w:r>
        <w:t xml:space="preserve">, 13(6) Theory &amp; </w:t>
      </w:r>
      <w:r>
        <w:t>Psychology</w:t>
      </w:r>
      <w:r>
        <w:t xml:space="preserve"> 723-752 (2003).</w:t>
      </w:r>
    </w:p>
  </w:footnote>
  <w:footnote w:id="172">
    <w:p w:rsidRPr="002A6771" w:rsidR="002A6771" w:rsidRDefault="002A6771" w14:paraId="2030C975" w14:textId="1F8F210F">
      <w:pPr>
        <w:pStyle w:val="FootnoteText"/>
      </w:pPr>
      <w:r>
        <w:rPr>
          <w:rStyle w:val="FootnoteReference"/>
        </w:rPr>
        <w:footnoteRef/>
      </w:r>
      <w:r>
        <w:t xml:space="preserve"> </w:t>
      </w:r>
      <w:r>
        <w:t xml:space="preserve">Gilbert McInnis, </w:t>
      </w:r>
      <w:r>
        <w:t>The Mythical Character of Machine Language and Code</w:t>
      </w:r>
      <w:r>
        <w:t>,</w:t>
      </w:r>
      <w:r w:rsidR="002D2226">
        <w:t xml:space="preserve"> 9(1) Humanities and Social Science Review</w:t>
      </w:r>
      <w:r>
        <w:t xml:space="preserve"> 467-478,</w:t>
      </w:r>
      <w:r w:rsidR="002D2226">
        <w:t xml:space="preserve"> 471 (2019).</w:t>
      </w:r>
    </w:p>
  </w:footnote>
  <w:footnote w:id="173">
    <w:p w:rsidRPr="00674C08" w:rsidR="000D0AF0" w:rsidRDefault="000D0AF0" w14:paraId="153BB810" w14:textId="50F40641">
      <w:pPr>
        <w:pStyle w:val="FootnoteText"/>
      </w:pPr>
      <w:r>
        <w:rPr>
          <w:rStyle w:val="FootnoteReference"/>
        </w:rPr>
        <w:footnoteRef/>
      </w:r>
      <w:r>
        <w:t xml:space="preserve"> </w:t>
      </w:r>
      <w:r w:rsidR="00674C08">
        <w:t xml:space="preserve">Véase, por ejemplo, Constantine Sedikides y W. Keith Campbell, </w:t>
      </w:r>
      <w:r>
        <w:t>The Self-Serving Bias in Relational Context</w:t>
      </w:r>
      <w:r>
        <w:t>, 74(2) Journal of Personality and Social Psychology</w:t>
      </w:r>
      <w:r>
        <w:t xml:space="preserve"> 378-386.</w:t>
      </w:r>
    </w:p>
  </w:footnote>
  <w:footnote w:id="174">
    <w:p w:rsidRPr="00674C08" w:rsidR="000D0AF0" w:rsidRDefault="000D0AF0" w14:paraId="301D9986" w14:textId="7E482A5F">
      <w:pPr>
        <w:pStyle w:val="FootnoteText"/>
      </w:pPr>
      <w:r>
        <w:rPr>
          <w:rStyle w:val="FootnoteReference"/>
        </w:rPr>
        <w:footnoteRef/>
      </w:r>
      <w:r>
        <w:t xml:space="preserve"> </w:t>
      </w:r>
      <w:r w:rsidR="00104DD1">
        <w:t xml:space="preserve">Youngme </w:t>
      </w:r>
      <w:r>
        <w:t xml:space="preserve">Moon, </w:t>
      </w:r>
      <w:r>
        <w:t>Don’t Blame the Computer</w:t>
      </w:r>
      <w:r>
        <w:t xml:space="preserve">: </w:t>
      </w:r>
      <w:r>
        <w:t>When Self-Disclosure Moderates the Self-Serving Bias</w:t>
      </w:r>
      <w:r>
        <w:t>, 13(1) Journal of Consumer Psychology</w:t>
      </w:r>
      <w:r>
        <w:t xml:space="preserve"> 125-137 (2003). </w:t>
      </w:r>
      <w:r>
        <w:t xml:space="preserve">Pero véase Richard J. Holden, </w:t>
      </w:r>
      <w:r>
        <w:t>“People or systems? To blame is human</w:t>
      </w:r>
      <w:r>
        <w:t xml:space="preserve">. </w:t>
      </w:r>
      <w:r>
        <w:t>The fix is to engineer.”,</w:t>
      </w:r>
      <w:r>
        <w:t xml:space="preserve"> 54(12) </w:t>
      </w:r>
      <w:r>
        <w:rPr>
          <w:i/>
          <w:iCs/>
        </w:rPr>
        <w:t>Professional Safety</w:t>
      </w:r>
      <w:r>
        <w:t xml:space="preserve"> 34-41 (2009).</w:t>
      </w:r>
    </w:p>
  </w:footnote>
  <w:footnote w:id="175">
    <w:p w:rsidRPr="003C6720" w:rsidR="003C6720" w:rsidP="003C6720" w:rsidRDefault="003C6720" w14:paraId="183C4181" w14:textId="7454F589">
      <w:pPr>
        <w:pStyle w:val="FootnoteText"/>
      </w:pPr>
      <w:r>
        <w:rPr>
          <w:rStyle w:val="FootnoteReference"/>
        </w:rPr>
        <w:footnoteRef/>
      </w:r>
      <w:r>
        <w:t xml:space="preserve"> </w:t>
      </w:r>
      <w:r>
        <w:t>Ese</w:t>
      </w:r>
      <w:r>
        <w:t xml:space="preserve"> es</w:t>
      </w:r>
      <w:r>
        <w:t>, por ejemplo,</w:t>
      </w:r>
      <w:r>
        <w:t xml:space="preserve"> el argumento que se </w:t>
      </w:r>
      <w:r>
        <w:t>esgrime</w:t>
      </w:r>
      <w:r>
        <w:t xml:space="preserve"> en el contexto </w:t>
      </w:r>
      <w:r w:rsidRPr="004E3A22">
        <w:t xml:space="preserve">del control de armas. Véase, por ejemplo, Heath J. </w:t>
      </w:r>
      <w:r>
        <w:t xml:space="preserve">Hodges </w:t>
      </w:r>
      <w:r w:rsidRPr="004E3A22">
        <w:t xml:space="preserve">y </w:t>
      </w:r>
      <w:r>
        <w:t xml:space="preserve">Mario </w:t>
      </w:r>
      <w:r w:rsidRPr="004E3A22">
        <w:t xml:space="preserve">Scalora, </w:t>
      </w:r>
      <w:r>
        <w:t>“Challenging the Political Assumption That ‘Guns Don’t Kill People</w:t>
      </w:r>
      <w:r>
        <w:t xml:space="preserve">, </w:t>
      </w:r>
      <w:r>
        <w:t>Crazy People Kill People!’”, Faculty Publications</w:t>
      </w:r>
      <w:r>
        <w:t xml:space="preserve">, </w:t>
      </w:r>
      <w:r>
        <w:t>University of</w:t>
      </w:r>
      <w:r>
        <w:t xml:space="preserve"> Nebraska, </w:t>
      </w:r>
      <w:r>
        <w:t>Department of Psychology</w:t>
      </w:r>
      <w:r>
        <w:t xml:space="preserve"> 817 </w:t>
      </w:r>
      <w:r>
        <w:t xml:space="preserve">(2015); disponible en [</w:t>
      </w:r>
      <w:r w:rsidRPr="003C6720">
        <w:t xml:space="preserve">http://digitalcommons.unl.edu/psychfacpub/817</w:t>
      </w:r>
      <w:r>
        <w:t>].</w:t>
      </w:r>
    </w:p>
  </w:footnote>
  <w:footnote w:id="176">
    <w:p w:rsidR="004817E5" w:rsidRDefault="00000000" w14:paraId="1086F541"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Véase, por ejemplo, Gleb Vzorin, </w:t>
      </w:r>
      <w:r>
        <w:t>Integrating Minds and Machines</w:t>
      </w:r>
      <w:r>
        <w:rPr>
          <w:rFonts w:ascii="Times New Roman" w:hAnsi="Times New Roman" w:cs="Times New Roman"/>
          <w:i/>
          <w:iCs/>
        </w:rPr>
        <w:t xml:space="preserve">: </w:t>
      </w:r>
      <w:r>
        <w:t>The Role of Digital Externalization in Evolving Cognitive Architectures</w:t>
      </w:r>
      <w:r>
        <w:rPr>
          <w:rFonts w:ascii="Times New Roman" w:hAnsi="Times New Roman" w:cs="Times New Roman"/>
        </w:rPr>
        <w:t xml:space="preserve">, en HHAI 2024: </w:t>
      </w:r>
      <w:r>
        <w:t>Hybrid Human AI Systems for the Social Good</w:t>
      </w:r>
      <w:r>
        <w:rPr>
          <w:rFonts w:ascii="Times New Roman" w:hAnsi="Times New Roman" w:cs="Times New Roman"/>
        </w:rPr>
        <w:t xml:space="preserve">: </w:t>
      </w:r>
      <w:r>
        <w:t>Proceedings of the Third International Conference on Hybrid Human-Artificial Intelligence</w:t>
      </w:r>
      <w:r>
        <w:rPr>
          <w:rFonts w:ascii="Times New Roman" w:hAnsi="Times New Roman" w:cs="Times New Roman"/>
        </w:rPr>
        <w:t xml:space="preserve"> 434-440 (Fabian Lorig, Jason Tucker, Adam Dahlgren </w:t>
      </w:r>
      <w:r>
        <w:t>Lindström</w:t>
      </w:r>
      <w:r>
        <w:rPr>
          <w:rFonts w:ascii="Times New Roman" w:hAnsi="Times New Roman" w:cs="Times New Roman"/>
        </w:rPr>
        <w:t xml:space="preserve">, Frank Dignum, Pradeep </w:t>
      </w:r>
      <w:r>
        <w:rPr>
          <w:rFonts w:ascii="Times New Roman" w:hAnsi="Times New Roman" w:cs="Times New Roman"/>
        </w:rPr>
        <w:t xml:space="preserve">Murukannaiah</w:t>
      </w:r>
      <w:r>
        <w:rPr>
          <w:rFonts w:ascii="Times New Roman" w:hAnsi="Times New Roman" w:cs="Times New Roman"/>
        </w:rPr>
        <w:t xml:space="preserve">, Andreas Theodorou y Pinar </w:t>
      </w:r>
      <w:r>
        <w:rPr>
          <w:rFonts w:ascii="Times New Roman" w:hAnsi="Times New Roman" w:cs="Times New Roman"/>
        </w:rPr>
        <w:t>Yolum</w:t>
      </w:r>
      <w:r>
        <w:t>,</w:t>
      </w:r>
      <w:r>
        <w:rPr>
          <w:rFonts w:ascii="Times New Roman" w:hAnsi="Times New Roman" w:cs="Times New Roman"/>
        </w:rPr>
        <w:t xml:space="preserve"> </w:t>
      </w:r>
      <w:r>
        <w:t>eds.,</w:t>
      </w:r>
      <w:r>
        <w:rPr>
          <w:rFonts w:ascii="Times New Roman" w:hAnsi="Times New Roman" w:cs="Times New Roman"/>
        </w:rPr>
        <w:t xml:space="preserve"> IOS Press, 2024); disponible en doi:10.3233/FAIA240218; Giovani </w:t>
      </w:r>
      <w:r>
        <w:t>Diaz</w:t>
      </w:r>
      <w:r>
        <w:rPr>
          <w:rFonts w:ascii="Times New Roman" w:hAnsi="Times New Roman" w:cs="Times New Roman"/>
        </w:rPr>
        <w:t xml:space="preserve"> Alfaro, Stephen M. Fiore y Kevin Oden, </w:t>
      </w:r>
      <w:r>
        <w:t>Externalized and Extended Cognition</w:t>
      </w:r>
      <w:r>
        <w:rPr>
          <w:rFonts w:ascii="Times New Roman" w:hAnsi="Times New Roman" w:cs="Times New Roman"/>
          <w:i/>
          <w:iCs/>
        </w:rPr>
        <w:t xml:space="preserve">: </w:t>
      </w:r>
      <w:r>
        <w:t>Cognitive Offloading for Human-Machine Teaming</w:t>
      </w:r>
      <w:r>
        <w:rPr>
          <w:rFonts w:ascii="Times New Roman" w:hAnsi="Times New Roman" w:cs="Times New Roman"/>
        </w:rPr>
        <w:t xml:space="preserve">, 68(1) </w:t>
      </w:r>
      <w:r>
        <w:t>Proceedings of the Human Factors and Ergonomics Society Annual Meeting</w:t>
      </w:r>
      <w:r>
        <w:rPr>
          <w:rFonts w:ascii="Times New Roman" w:hAnsi="Times New Roman" w:cs="Times New Roman"/>
        </w:rPr>
        <w:t xml:space="preserve"> 290-293; disponible en https://doi.org/10.1177/1071181324127556</w:t>
      </w:r>
    </w:p>
  </w:footnote>
  <w:footnote w:id="177">
    <w:p w:rsidR="004817E5" w:rsidRDefault="00000000" w14:paraId="247B68F3" w14:textId="77777777">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Véase, por ejemplo, </w:t>
      </w:r>
      <w:r>
        <w:rPr>
          <w:rFonts w:ascii="Times New Roman" w:hAnsi="Times New Roman" w:cs="Times New Roman"/>
        </w:rPr>
        <w:t xml:space="preserve">Donghee </w:t>
      </w:r>
      <w:r>
        <w:rPr>
          <w:rFonts w:ascii="Times New Roman" w:hAnsi="Times New Roman" w:cs="Times New Roman"/>
        </w:rPr>
        <w:t xml:space="preserve">Shin y William T. Bianco, </w:t>
      </w:r>
      <w:r>
        <w:t>In Blockchain We Trust</w:t>
      </w:r>
      <w:r>
        <w:rPr>
          <w:rFonts w:ascii="Times New Roman" w:hAnsi="Times New Roman" w:cs="Times New Roman"/>
          <w:i/>
          <w:iCs/>
        </w:rPr>
        <w:t xml:space="preserve">: </w:t>
      </w:r>
      <w:r>
        <w:t>Does Blockchain Itself Generate Trust?,</w:t>
      </w:r>
      <w:r>
        <w:rPr>
          <w:rFonts w:ascii="Times New Roman" w:hAnsi="Times New Roman" w:cs="Times New Roman"/>
        </w:rPr>
        <w:t xml:space="preserve"> 101(7) </w:t>
      </w:r>
      <w:r>
        <w:rPr>
          <w:rFonts w:ascii="Times New Roman" w:hAnsi="Times New Roman" w:cs="Times New Roman"/>
          <w:smallCaps/>
        </w:rPr>
        <w:t xml:space="preserve">Social </w:t>
      </w:r>
      <w:r>
        <w:rPr>
          <w:rFonts w:ascii="Times New Roman" w:hAnsi="Times New Roman" w:cs="Times New Roman"/>
          <w:smallCaps/>
        </w:rPr>
        <w:t xml:space="preserve">Science </w:t>
      </w:r>
      <w:r>
        <w:rPr>
          <w:rFonts w:ascii="Times New Roman" w:hAnsi="Times New Roman" w:cs="Times New Roman"/>
          <w:smallCaps/>
        </w:rPr>
        <w:t>Quarterly</w:t>
      </w:r>
      <w:r>
        <w:rPr>
          <w:rFonts w:ascii="Times New Roman" w:hAnsi="Times New Roman" w:cs="Times New Roman"/>
        </w:rPr>
        <w:t xml:space="preserve"> 2522-2538 (2020); Florian Hawlitschek, Benedikt </w:t>
      </w:r>
      <w:r>
        <w:rPr>
          <w:rFonts w:ascii="Times New Roman" w:hAnsi="Times New Roman" w:cs="Times New Roman"/>
        </w:rPr>
        <w:t xml:space="preserve">Notheisen </w:t>
      </w:r>
      <w:r>
        <w:rPr>
          <w:rFonts w:ascii="Times New Roman" w:hAnsi="Times New Roman" w:cs="Times New Roman"/>
        </w:rPr>
        <w:t xml:space="preserve">y Timm Teubner, </w:t>
      </w:r>
      <w:r>
        <w:t>The limits of trust-free systems</w:t>
      </w:r>
      <w:r>
        <w:rPr>
          <w:rFonts w:ascii="Times New Roman" w:hAnsi="Times New Roman" w:cs="Times New Roman"/>
          <w:i/>
          <w:iCs/>
        </w:rPr>
        <w:t xml:space="preserve">: </w:t>
      </w:r>
      <w:r>
        <w:t>A literature review on</w:t>
      </w:r>
      <w:r>
        <w:rPr>
          <w:rFonts w:ascii="Times New Roman" w:hAnsi="Times New Roman" w:cs="Times New Roman"/>
          <w:i/>
          <w:iCs/>
        </w:rPr>
        <w:t xml:space="preserve"> blockchain </w:t>
      </w:r>
      <w:r>
        <w:t>technology and trust in the sharing economy</w:t>
      </w:r>
      <w:r>
        <w:rPr>
          <w:rFonts w:ascii="Times New Roman" w:hAnsi="Times New Roman" w:cs="Times New Roman"/>
        </w:rPr>
        <w:t xml:space="preserve">, 29 </w:t>
      </w:r>
      <w:r>
        <w:rPr>
          <w:rFonts w:ascii="Times New Roman" w:hAnsi="Times New Roman" w:cs="Times New Roman"/>
          <w:smallCaps/>
        </w:rPr>
        <w:t xml:space="preserve">Electronic </w:t>
      </w:r>
      <w:r>
        <w:rPr>
          <w:rFonts w:ascii="Times New Roman" w:hAnsi="Times New Roman" w:cs="Times New Roman"/>
          <w:smallCaps/>
        </w:rPr>
        <w:t xml:space="preserve">Commerce </w:t>
      </w:r>
      <w:r>
        <w:rPr>
          <w:rFonts w:ascii="Times New Roman" w:hAnsi="Times New Roman" w:cs="Times New Roman"/>
          <w:smallCaps/>
        </w:rPr>
        <w:t xml:space="preserve">Research and </w:t>
      </w:r>
      <w:r>
        <w:rPr>
          <w:rFonts w:ascii="Times New Roman" w:hAnsi="Times New Roman" w:cs="Times New Roman"/>
          <w:smallCaps/>
        </w:rPr>
        <w:t xml:space="preserve">Applications</w:t>
      </w:r>
      <w:r>
        <w:rPr>
          <w:rFonts w:ascii="Times New Roman" w:hAnsi="Times New Roman" w:cs="Times New Roman"/>
        </w:rPr>
        <w:t xml:space="preserve"> 50-63 (2018) («no es probable que la tecnología blockchain elimine la necesidad de confianza entre </w:t>
      </w:r>
      <w:r>
        <w:t>las partes</w:t>
      </w:r>
      <w:r>
        <w:rPr>
          <w:rFonts w:ascii="Times New Roman" w:hAnsi="Times New Roman" w:cs="Times New Roman"/>
        </w:rPr>
        <w:t xml:space="preserve"> de una transacción en la economía colaborativa. </w:t>
      </w:r>
      <w:r>
        <w:t>Con todo</w:t>
      </w:r>
      <w:r>
        <w:rPr>
          <w:rFonts w:ascii="Times New Roman" w:hAnsi="Times New Roman" w:cs="Times New Roman"/>
        </w:rPr>
        <w:t xml:space="preserve">, vale la pena describir y </w:t>
      </w:r>
      <w:r>
        <w:t>estimar</w:t>
      </w:r>
      <w:r>
        <w:rPr>
          <w:rFonts w:ascii="Times New Roman" w:hAnsi="Times New Roman" w:cs="Times New Roman"/>
        </w:rPr>
        <w:t xml:space="preserve"> su potencial para </w:t>
      </w:r>
      <w:r>
        <w:t>desafiar el modo</w:t>
      </w:r>
      <w:r>
        <w:rPr>
          <w:rFonts w:ascii="Times New Roman" w:hAnsi="Times New Roman" w:cs="Times New Roman"/>
        </w:rPr>
        <w:t xml:space="preserve"> en que </w:t>
      </w:r>
      <w:r>
        <w:t xml:space="preserve">hoy </w:t>
      </w:r>
      <w:r>
        <w:rPr>
          <w:rFonts w:ascii="Times New Roman" w:hAnsi="Times New Roman" w:cs="Times New Roman"/>
        </w:rPr>
        <w:t xml:space="preserve">se </w:t>
      </w:r>
      <w:r>
        <w:t>construye</w:t>
      </w:r>
      <w:r>
        <w:rPr>
          <w:rFonts w:ascii="Times New Roman" w:hAnsi="Times New Roman" w:cs="Times New Roman"/>
        </w:rPr>
        <w:t xml:space="preserve"> la </w:t>
      </w:r>
      <w:r>
        <w:t>confianza»</w:t>
      </w:r>
      <w:r>
        <w:rPr>
          <w:rFonts w:ascii="Times New Roman" w:hAnsi="Times New Roman" w:cs="Times New Roman"/>
        </w:rPr>
        <w:t xml:space="preserve">); Backer, </w:t>
      </w:r>
      <w:r>
        <w:rPr>
          <w:rFonts w:ascii="Times New Roman" w:hAnsi="Times New Roman" w:cs="Times New Roman"/>
          <w:i/>
          <w:iCs/>
        </w:rPr>
        <w:t xml:space="preserve">Trust Platforms, supra</w:t>
      </w:r>
      <w:r>
        <w:rPr>
          <w:rFonts w:ascii="Times New Roman" w:hAnsi="Times New Roman" w:cs="Times New Roman"/>
        </w:rPr>
        <w:t xml:space="preserv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380020855"/>
      <w:docPartObj>
        <w:docPartGallery w:val="Page Numbers (Top of Page)"/>
        <w:docPartUnique/>
      </w:docPartObj>
    </w:sdtPr>
    <w:sdtContent>
      <w:p w:rsidR="00843294" w:rsidP="0053406A" w:rsidRDefault="00843294" w14:paraId="4AAF4B0B" w14:textId="1979E759">
        <w:pPr>
          <w:pStyle w:val="Head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rsidR="00843294" w:rsidP="00843294" w:rsidRDefault="00843294" w14:paraId="2D3E9332" w14:textId="77777777">
    <w:pPr>
      <w:pStyle w:val="Header"/>
      <w:ind w:end="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Fonts w:ascii="Times New Roman" w:hAnsi="Times New Roman" w:cs="Times New Roman"/>
      </w:rPr>
      <w:id w:val="-1071109959"/>
      <w:docPartObj>
        <w:docPartGallery w:val="Page Numbers (Top of Page)"/>
        <w:docPartUnique/>
      </w:docPartObj>
    </w:sdtPr>
    <w:sdtContent>
      <w:p w:rsidRPr="00ED39E9" w:rsidR="00843294" w:rsidP="0053406A" w:rsidRDefault="00843294" w14:paraId="45C3AB50" w14:textId="3EE8A489">
        <w:pPr>
          <w:pStyle w:val="Header"/>
          <w:framePr w:wrap="none" w:hAnchor="margin" w:vAnchor="text" w:xAlign="right" w:y="1"/>
          <w:rPr>
            <w:rStyle w:val="PageNumber"/>
            <w:rFonts w:ascii="Times New Roman" w:hAnsi="Times New Roman" w:cs="Times New Roman"/>
          </w:rPr>
        </w:pPr>
        <w:r w:rsidRPr="00ED39E9">
          <w:rPr>
            <w:rStyle w:val="PageNumber"/>
            <w:rFonts w:ascii="Times New Roman" w:hAnsi="Times New Roman" w:cs="Times New Roman"/>
          </w:rPr>
          <w:fldChar w:fldCharType="begin"/>
        </w:r>
        <w:r w:rsidRPr="00ED39E9">
          <w:rPr>
            <w:rStyle w:val="PageNumber"/>
            <w:rFonts w:ascii="Times New Roman" w:hAnsi="Times New Roman" w:cs="Times New Roman"/>
          </w:rPr>
          <w:instrText xml:space="preserve"> PAGE </w:instrText>
        </w:r>
        <w:r w:rsidRPr="00ED39E9">
          <w:rPr>
            <w:rStyle w:val="PageNumber"/>
            <w:rFonts w:ascii="Times New Roman" w:hAnsi="Times New Roman" w:cs="Times New Roman"/>
          </w:rPr>
          <w:fldChar w:fldCharType="separate"/>
        </w:r>
        <w:r w:rsidRPr="00ED39E9">
          <w:rPr>
            <w:rStyle w:val="PageNumber"/>
            <w:rFonts w:ascii="Times New Roman" w:hAnsi="Times New Roman" w:cs="Times New Roman"/>
            <w:noProof/>
          </w:rPr>
          <w:t>1</w:t>
        </w:r>
        <w:r w:rsidRPr="00ED39E9">
          <w:rPr>
            <w:rStyle w:val="PageNumber"/>
            <w:rFonts w:ascii="Times New Roman" w:hAnsi="Times New Roman" w:cs="Times New Roman"/>
          </w:rPr>
          <w:fldChar w:fldCharType="end"/>
        </w:r>
      </w:p>
    </w:sdtContent>
  </w:sdt>
  <w:p w:rsidRPr="00ED39E9" w:rsidR="00843294" w:rsidP="00843294" w:rsidRDefault="00843294" w14:paraId="70E6D3D1" w14:textId="77777777">
    <w:pPr>
      <w:pStyle w:val="Header"/>
      <w:ind w:end="360"/>
      <w:rPr>
        <w:rFonts w:ascii="Times New Roman" w:hAnsi="Times New Roman" w:cs="Times New Roman"/>
        <w:i/>
        <w:iCs/>
        <w:sz w:val="18"/>
        <w:szCs w:val="18"/>
      </w:rPr>
    </w:pPr>
    <w:r w:rsidRPr="00ED39E9">
      <w:rPr>
        <w:rFonts w:ascii="Times New Roman" w:hAnsi="Times New Roman" w:cs="Times New Roman"/>
        <w:i/>
        <w:iCs/>
        <w:sz w:val="18"/>
        <w:szCs w:val="18"/>
      </w:rPr>
      <w:t xml:space="preserve">Sistemas regulatorios de blockchain: retos conceptuales y operativos</w:t>
    </w:r>
  </w:p>
  <w:p w:rsidRPr="00ED39E9" w:rsidR="00843294" w:rsidP="00843294" w:rsidRDefault="00843294" w14:paraId="5AB3ABD9" w14:textId="6B8F51BC">
    <w:pPr>
      <w:pStyle w:val="Header"/>
      <w:rPr>
        <w:rFonts w:ascii="Times New Roman" w:hAnsi="Times New Roman" w:cs="Times New Roman"/>
        <w:sz w:val="18"/>
        <w:szCs w:val="18"/>
      </w:rPr>
    </w:pPr>
    <w:r w:rsidRPr="00ED39E9">
      <w:rPr>
        <w:rFonts w:ascii="Times New Roman" w:hAnsi="Times New Roman" w:cs="Times New Roman"/>
        <w:sz w:val="18"/>
        <w:szCs w:val="18"/>
      </w:rPr>
      <w:t xml:space="preserve">Larry Catá Backer</w:t>
    </w:r>
    <w:r w:rsidR="00DD6EF1">
      <w:rPr>
        <w:rFonts w:ascii="Times New Roman" w:hAnsi="Times New Roman" w:cs="Times New Roman"/>
        <w:sz w:val="18"/>
        <w:szCs w:val="18"/>
      </w:rPr>
      <w:t xml:space="preserve">, Daniil Rose</w:t>
    </w:r>
  </w:p>
  <w:p w:rsidR="004817E5" w:rsidRDefault="006E1987" w14:paraId="7ADC7E98" w14:textId="4BBFA63C">
    <w:pPr>
      <w:pStyle w:val="Header"/>
      <w:rPr>
        <w:rFonts w:ascii="Times New Roman" w:hAnsi="Times New Roman" w:cs="Times New Roman"/>
        <w:sz w:val="18"/>
        <w:szCs w:val="18"/>
      </w:rPr>
    </w:pPr>
    <w:r>
      <w:rPr>
        <w:rFonts w:ascii="Times New Roman" w:hAnsi="Times New Roman" w:cs="Times New Roman"/>
        <w:sz w:val="18"/>
        <w:szCs w:val="18"/>
      </w:rPr>
      <w:t xml:space="preserve">Borrador revisado para presentación, 8 de noviembre de 2026</w:t>
    </w:r>
  </w:p>
  <w:p w:rsidRPr="00ED39E9" w:rsidR="00843294" w:rsidP="00843294" w:rsidRDefault="00000000" w14:paraId="6AB590C5" w14:textId="27F958C8">
    <w:pPr>
      <w:pStyle w:val="Header"/>
      <w:rPr>
        <w:rFonts w:ascii="Times New Roman" w:hAnsi="Times New Roman" w:cs="Times New Roman"/>
        <w:sz w:val="18"/>
        <w:szCs w:val="18"/>
      </w:rPr>
    </w:pPr>
    <w:bdo w:val="ltr">
      <w:r>
        <w:t>‬</w:t>
      </w:r>
      <w:bdo w:val="ltr">
        <w:r>
          <w:t>‬</w:t>
        </w:r>
        <w:r>
          <w:t>‬</w:t>
        </w:r>
        <w:r>
          <w:t>‬</w:t>
        </w:r>
        <w:r>
          <w:t>‬</w:t>
        </w:r>
        <w:r>
          <w:t>‬</w:t>
        </w:r>
        <w:r>
          <w:t>‬</w:t>
        </w:r>
        <w:r>
          <w:t>‬</w:t>
        </w:r>
        <w:r>
          <w:t>‬</w:t>
        </w:r>
        <w:r>
          <w:t>‬</w:t>
        </w:r>
        <w:r>
          <w:t>‬</w:t>
        </w:r>
        <w:r>
          <w:t>‬</w:t>
        </w:r>
        <w:r>
          <w:t>‬</w:t>
        </w:r>
        <w:r>
          <w:t>‬</w:t>
        </w:r>
        <w:r>
          <w:t>‬</w:t>
        </w:r>
        <w:r>
          <w:t>‬</w:t>
        </w:r>
      </w:bdo>
    </w:bdo>
  </w:p>
  <w:p w:rsidRPr="00ED39E9" w:rsidR="00843294" w:rsidP="00843294" w:rsidRDefault="00843294" w14:paraId="396DB9EF" w14:textId="77777777">
    <w:pPr>
      <w:pStyle w:val="Header"/>
      <w:rPr>
        <w:rFonts w:ascii="Times New Roman" w:hAnsi="Times New Roman" w:cs="Times New Roman"/>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3AE694D"/>
    <w:multiLevelType w:val="multilevel"/>
    <w:tmpl w:val="E8A0FA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38260151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A07"/>
    <w:rsid w:val="000001E1"/>
    <w:rsid w:val="00005AEB"/>
    <w:rsid w:val="00006A10"/>
    <w:rsid w:val="0000737B"/>
    <w:rsid w:val="00012504"/>
    <w:rsid w:val="000149D5"/>
    <w:rsid w:val="0001602B"/>
    <w:rsid w:val="00017F7A"/>
    <w:rsid w:val="000250A1"/>
    <w:rsid w:val="000267A2"/>
    <w:rsid w:val="0002749D"/>
    <w:rsid w:val="00027824"/>
    <w:rsid w:val="000328BB"/>
    <w:rsid w:val="00033443"/>
    <w:rsid w:val="00036D9F"/>
    <w:rsid w:val="0004154E"/>
    <w:rsid w:val="000449B0"/>
    <w:rsid w:val="00044AC7"/>
    <w:rsid w:val="0004589F"/>
    <w:rsid w:val="00046E8D"/>
    <w:rsid w:val="00047176"/>
    <w:rsid w:val="00047552"/>
    <w:rsid w:val="000505C9"/>
    <w:rsid w:val="0005150F"/>
    <w:rsid w:val="000516B1"/>
    <w:rsid w:val="000520C5"/>
    <w:rsid w:val="0006057C"/>
    <w:rsid w:val="00060C09"/>
    <w:rsid w:val="00062B76"/>
    <w:rsid w:val="0006360D"/>
    <w:rsid w:val="00063A01"/>
    <w:rsid w:val="00064517"/>
    <w:rsid w:val="00064BAE"/>
    <w:rsid w:val="00064F75"/>
    <w:rsid w:val="000655B8"/>
    <w:rsid w:val="00067A1C"/>
    <w:rsid w:val="00077B2C"/>
    <w:rsid w:val="00080F61"/>
    <w:rsid w:val="0008218E"/>
    <w:rsid w:val="00084877"/>
    <w:rsid w:val="00090631"/>
    <w:rsid w:val="0009219A"/>
    <w:rsid w:val="00093AF0"/>
    <w:rsid w:val="000969E5"/>
    <w:rsid w:val="000A1DD9"/>
    <w:rsid w:val="000A785A"/>
    <w:rsid w:val="000B16BF"/>
    <w:rsid w:val="000B510A"/>
    <w:rsid w:val="000B53EF"/>
    <w:rsid w:val="000B6376"/>
    <w:rsid w:val="000B6D2A"/>
    <w:rsid w:val="000C2AC2"/>
    <w:rsid w:val="000C441B"/>
    <w:rsid w:val="000D0AAA"/>
    <w:rsid w:val="000D0AF0"/>
    <w:rsid w:val="000D5AB8"/>
    <w:rsid w:val="000D5ED5"/>
    <w:rsid w:val="000E0A80"/>
    <w:rsid w:val="000E140A"/>
    <w:rsid w:val="000E488C"/>
    <w:rsid w:val="000E5050"/>
    <w:rsid w:val="000E5A29"/>
    <w:rsid w:val="000E6201"/>
    <w:rsid w:val="000F055E"/>
    <w:rsid w:val="000F0B6C"/>
    <w:rsid w:val="000F1D7F"/>
    <w:rsid w:val="000F2AC5"/>
    <w:rsid w:val="000F71CD"/>
    <w:rsid w:val="0010181C"/>
    <w:rsid w:val="00102A97"/>
    <w:rsid w:val="00103510"/>
    <w:rsid w:val="001042C2"/>
    <w:rsid w:val="0010459A"/>
    <w:rsid w:val="00104DD1"/>
    <w:rsid w:val="00110A29"/>
    <w:rsid w:val="00111237"/>
    <w:rsid w:val="001114D4"/>
    <w:rsid w:val="0011374F"/>
    <w:rsid w:val="001161A4"/>
    <w:rsid w:val="001300AB"/>
    <w:rsid w:val="00130B6F"/>
    <w:rsid w:val="00133890"/>
    <w:rsid w:val="0013466A"/>
    <w:rsid w:val="00135CDD"/>
    <w:rsid w:val="00135EAB"/>
    <w:rsid w:val="00136131"/>
    <w:rsid w:val="001377A8"/>
    <w:rsid w:val="00137D6D"/>
    <w:rsid w:val="00141299"/>
    <w:rsid w:val="0014194B"/>
    <w:rsid w:val="001457F7"/>
    <w:rsid w:val="001467AE"/>
    <w:rsid w:val="00150C57"/>
    <w:rsid w:val="0015259D"/>
    <w:rsid w:val="001538BB"/>
    <w:rsid w:val="00155A12"/>
    <w:rsid w:val="001647B2"/>
    <w:rsid w:val="00170A46"/>
    <w:rsid w:val="00170CC5"/>
    <w:rsid w:val="00171401"/>
    <w:rsid w:val="00171EDB"/>
    <w:rsid w:val="0017559B"/>
    <w:rsid w:val="00175CE8"/>
    <w:rsid w:val="00177990"/>
    <w:rsid w:val="00177C25"/>
    <w:rsid w:val="001829C4"/>
    <w:rsid w:val="00185B9B"/>
    <w:rsid w:val="00191402"/>
    <w:rsid w:val="00191DFD"/>
    <w:rsid w:val="00192879"/>
    <w:rsid w:val="00195A36"/>
    <w:rsid w:val="00196FEA"/>
    <w:rsid w:val="001974E0"/>
    <w:rsid w:val="00197AA9"/>
    <w:rsid w:val="001A060C"/>
    <w:rsid w:val="001A118E"/>
    <w:rsid w:val="001A1587"/>
    <w:rsid w:val="001A2419"/>
    <w:rsid w:val="001A273C"/>
    <w:rsid w:val="001A4A95"/>
    <w:rsid w:val="001A4D88"/>
    <w:rsid w:val="001B4AB2"/>
    <w:rsid w:val="001B7893"/>
    <w:rsid w:val="001B7C76"/>
    <w:rsid w:val="001C0E70"/>
    <w:rsid w:val="001C1574"/>
    <w:rsid w:val="001C20CC"/>
    <w:rsid w:val="001C35A2"/>
    <w:rsid w:val="001C4178"/>
    <w:rsid w:val="001C49B4"/>
    <w:rsid w:val="001C4C29"/>
    <w:rsid w:val="001C4CC0"/>
    <w:rsid w:val="001C6986"/>
    <w:rsid w:val="001C7CEB"/>
    <w:rsid w:val="001D0B85"/>
    <w:rsid w:val="001D5B3F"/>
    <w:rsid w:val="001E1D04"/>
    <w:rsid w:val="001E3668"/>
    <w:rsid w:val="001E60E8"/>
    <w:rsid w:val="001F1E43"/>
    <w:rsid w:val="001F21E5"/>
    <w:rsid w:val="001F41F1"/>
    <w:rsid w:val="001F4EB9"/>
    <w:rsid w:val="001F6615"/>
    <w:rsid w:val="001F6870"/>
    <w:rsid w:val="001F699E"/>
    <w:rsid w:val="00200D8E"/>
    <w:rsid w:val="00202F27"/>
    <w:rsid w:val="002048A4"/>
    <w:rsid w:val="002049A9"/>
    <w:rsid w:val="00204A55"/>
    <w:rsid w:val="00211F20"/>
    <w:rsid w:val="00212428"/>
    <w:rsid w:val="00213538"/>
    <w:rsid w:val="002142DA"/>
    <w:rsid w:val="002147F4"/>
    <w:rsid w:val="00214F36"/>
    <w:rsid w:val="002162E0"/>
    <w:rsid w:val="00216BFF"/>
    <w:rsid w:val="00217B08"/>
    <w:rsid w:val="0022108B"/>
    <w:rsid w:val="0022126F"/>
    <w:rsid w:val="002232F2"/>
    <w:rsid w:val="00224989"/>
    <w:rsid w:val="002250C4"/>
    <w:rsid w:val="00227EF9"/>
    <w:rsid w:val="00231BD9"/>
    <w:rsid w:val="0023205D"/>
    <w:rsid w:val="0023370E"/>
    <w:rsid w:val="0023658B"/>
    <w:rsid w:val="0023674E"/>
    <w:rsid w:val="002367CB"/>
    <w:rsid w:val="002400D9"/>
    <w:rsid w:val="002431D6"/>
    <w:rsid w:val="002442C0"/>
    <w:rsid w:val="0024494C"/>
    <w:rsid w:val="00250B67"/>
    <w:rsid w:val="002519F6"/>
    <w:rsid w:val="0025331E"/>
    <w:rsid w:val="002563E0"/>
    <w:rsid w:val="00257379"/>
    <w:rsid w:val="0026484E"/>
    <w:rsid w:val="0026513F"/>
    <w:rsid w:val="00266CB3"/>
    <w:rsid w:val="00275173"/>
    <w:rsid w:val="00277770"/>
    <w:rsid w:val="0028053A"/>
    <w:rsid w:val="00280CAD"/>
    <w:rsid w:val="00280D00"/>
    <w:rsid w:val="0028361E"/>
    <w:rsid w:val="00284D93"/>
    <w:rsid w:val="00285E63"/>
    <w:rsid w:val="00291DE8"/>
    <w:rsid w:val="002979EF"/>
    <w:rsid w:val="002A3D80"/>
    <w:rsid w:val="002A6771"/>
    <w:rsid w:val="002A7D8E"/>
    <w:rsid w:val="002B2FAC"/>
    <w:rsid w:val="002C033D"/>
    <w:rsid w:val="002C0735"/>
    <w:rsid w:val="002C102D"/>
    <w:rsid w:val="002C4459"/>
    <w:rsid w:val="002C7209"/>
    <w:rsid w:val="002D1F0F"/>
    <w:rsid w:val="002D2226"/>
    <w:rsid w:val="002D2533"/>
    <w:rsid w:val="002D3124"/>
    <w:rsid w:val="002D4019"/>
    <w:rsid w:val="002D6C92"/>
    <w:rsid w:val="002D7E43"/>
    <w:rsid w:val="002E141C"/>
    <w:rsid w:val="002E1EA8"/>
    <w:rsid w:val="002E3F2B"/>
    <w:rsid w:val="002E456C"/>
    <w:rsid w:val="002E64A5"/>
    <w:rsid w:val="00302EBA"/>
    <w:rsid w:val="00303489"/>
    <w:rsid w:val="003038E2"/>
    <w:rsid w:val="00303F19"/>
    <w:rsid w:val="00304AD0"/>
    <w:rsid w:val="0030598F"/>
    <w:rsid w:val="00306A47"/>
    <w:rsid w:val="003070C2"/>
    <w:rsid w:val="00307CC3"/>
    <w:rsid w:val="003118D2"/>
    <w:rsid w:val="00312B5F"/>
    <w:rsid w:val="00313C84"/>
    <w:rsid w:val="00317FE7"/>
    <w:rsid w:val="00320187"/>
    <w:rsid w:val="00321393"/>
    <w:rsid w:val="0032513A"/>
    <w:rsid w:val="00325F40"/>
    <w:rsid w:val="00326FDC"/>
    <w:rsid w:val="003271E3"/>
    <w:rsid w:val="00332F7C"/>
    <w:rsid w:val="00334DF3"/>
    <w:rsid w:val="0033524D"/>
    <w:rsid w:val="00335C16"/>
    <w:rsid w:val="003376E1"/>
    <w:rsid w:val="00337D72"/>
    <w:rsid w:val="00342882"/>
    <w:rsid w:val="00343A7B"/>
    <w:rsid w:val="003441F2"/>
    <w:rsid w:val="00344EB3"/>
    <w:rsid w:val="00344F8D"/>
    <w:rsid w:val="00345591"/>
    <w:rsid w:val="00346620"/>
    <w:rsid w:val="00347230"/>
    <w:rsid w:val="00352061"/>
    <w:rsid w:val="003542D6"/>
    <w:rsid w:val="00357393"/>
    <w:rsid w:val="003574BD"/>
    <w:rsid w:val="00357E08"/>
    <w:rsid w:val="00362DE2"/>
    <w:rsid w:val="003640FD"/>
    <w:rsid w:val="0036540A"/>
    <w:rsid w:val="00371F1C"/>
    <w:rsid w:val="003731A2"/>
    <w:rsid w:val="00373F97"/>
    <w:rsid w:val="003771F4"/>
    <w:rsid w:val="003830C3"/>
    <w:rsid w:val="0038363B"/>
    <w:rsid w:val="0038478C"/>
    <w:rsid w:val="00384919"/>
    <w:rsid w:val="003853D8"/>
    <w:rsid w:val="003853EF"/>
    <w:rsid w:val="00386EF3"/>
    <w:rsid w:val="00391866"/>
    <w:rsid w:val="0039386B"/>
    <w:rsid w:val="003951FF"/>
    <w:rsid w:val="003A0FA2"/>
    <w:rsid w:val="003A188E"/>
    <w:rsid w:val="003A2E98"/>
    <w:rsid w:val="003A4FCE"/>
    <w:rsid w:val="003A51C1"/>
    <w:rsid w:val="003A562B"/>
    <w:rsid w:val="003B3C53"/>
    <w:rsid w:val="003B4412"/>
    <w:rsid w:val="003B6955"/>
    <w:rsid w:val="003C00A1"/>
    <w:rsid w:val="003C44BD"/>
    <w:rsid w:val="003C496D"/>
    <w:rsid w:val="003C6720"/>
    <w:rsid w:val="003C6DAC"/>
    <w:rsid w:val="003D11FE"/>
    <w:rsid w:val="003D5A83"/>
    <w:rsid w:val="003D7491"/>
    <w:rsid w:val="003E081C"/>
    <w:rsid w:val="003E148E"/>
    <w:rsid w:val="003E2132"/>
    <w:rsid w:val="003E31EE"/>
    <w:rsid w:val="003E3990"/>
    <w:rsid w:val="003E3F81"/>
    <w:rsid w:val="003E3FBE"/>
    <w:rsid w:val="003F0195"/>
    <w:rsid w:val="003F085C"/>
    <w:rsid w:val="003F120A"/>
    <w:rsid w:val="003F30D4"/>
    <w:rsid w:val="003F3214"/>
    <w:rsid w:val="003F497B"/>
    <w:rsid w:val="003F6FF0"/>
    <w:rsid w:val="00400DA2"/>
    <w:rsid w:val="00402E1C"/>
    <w:rsid w:val="00406D41"/>
    <w:rsid w:val="00411080"/>
    <w:rsid w:val="00413C30"/>
    <w:rsid w:val="00415236"/>
    <w:rsid w:val="004175F7"/>
    <w:rsid w:val="0042167D"/>
    <w:rsid w:val="004233BE"/>
    <w:rsid w:val="00423D55"/>
    <w:rsid w:val="004263C1"/>
    <w:rsid w:val="00427B1A"/>
    <w:rsid w:val="0043063C"/>
    <w:rsid w:val="00432373"/>
    <w:rsid w:val="0043391D"/>
    <w:rsid w:val="00433E65"/>
    <w:rsid w:val="004356C7"/>
    <w:rsid w:val="004357E7"/>
    <w:rsid w:val="004359E0"/>
    <w:rsid w:val="004379EC"/>
    <w:rsid w:val="00437CAA"/>
    <w:rsid w:val="004417C6"/>
    <w:rsid w:val="0044776B"/>
    <w:rsid w:val="00451953"/>
    <w:rsid w:val="004521E6"/>
    <w:rsid w:val="004523F7"/>
    <w:rsid w:val="004547DF"/>
    <w:rsid w:val="004549B9"/>
    <w:rsid w:val="00462842"/>
    <w:rsid w:val="004645D6"/>
    <w:rsid w:val="00465295"/>
    <w:rsid w:val="004669A2"/>
    <w:rsid w:val="0047064A"/>
    <w:rsid w:val="00471B94"/>
    <w:rsid w:val="00471C57"/>
    <w:rsid w:val="004756AB"/>
    <w:rsid w:val="00475858"/>
    <w:rsid w:val="004777E6"/>
    <w:rsid w:val="004817E5"/>
    <w:rsid w:val="004832FB"/>
    <w:rsid w:val="004833EC"/>
    <w:rsid w:val="00483994"/>
    <w:rsid w:val="00484A1B"/>
    <w:rsid w:val="00490A6E"/>
    <w:rsid w:val="0049335A"/>
    <w:rsid w:val="00494CB8"/>
    <w:rsid w:val="0049760A"/>
    <w:rsid w:val="004A01AE"/>
    <w:rsid w:val="004A0EED"/>
    <w:rsid w:val="004A1521"/>
    <w:rsid w:val="004A2B40"/>
    <w:rsid w:val="004A4926"/>
    <w:rsid w:val="004B62DF"/>
    <w:rsid w:val="004B65EC"/>
    <w:rsid w:val="004C1CFA"/>
    <w:rsid w:val="004C2A56"/>
    <w:rsid w:val="004C5A4E"/>
    <w:rsid w:val="004D0F60"/>
    <w:rsid w:val="004D0F78"/>
    <w:rsid w:val="004D3977"/>
    <w:rsid w:val="004D4A4B"/>
    <w:rsid w:val="004D553C"/>
    <w:rsid w:val="004E2D94"/>
    <w:rsid w:val="004E3A22"/>
    <w:rsid w:val="004E51D2"/>
    <w:rsid w:val="004E780D"/>
    <w:rsid w:val="004F0020"/>
    <w:rsid w:val="004F0C91"/>
    <w:rsid w:val="004F1627"/>
    <w:rsid w:val="004F24A9"/>
    <w:rsid w:val="004F267F"/>
    <w:rsid w:val="004F385C"/>
    <w:rsid w:val="004F4B5A"/>
    <w:rsid w:val="004F672D"/>
    <w:rsid w:val="004F7DE6"/>
    <w:rsid w:val="004F7DEA"/>
    <w:rsid w:val="00500853"/>
    <w:rsid w:val="00500950"/>
    <w:rsid w:val="005020CA"/>
    <w:rsid w:val="0050330F"/>
    <w:rsid w:val="00503C57"/>
    <w:rsid w:val="0050419F"/>
    <w:rsid w:val="00504997"/>
    <w:rsid w:val="00507510"/>
    <w:rsid w:val="0051077A"/>
    <w:rsid w:val="00510E4F"/>
    <w:rsid w:val="00511634"/>
    <w:rsid w:val="005122D9"/>
    <w:rsid w:val="00512B24"/>
    <w:rsid w:val="00514512"/>
    <w:rsid w:val="00517365"/>
    <w:rsid w:val="005173D3"/>
    <w:rsid w:val="00520E84"/>
    <w:rsid w:val="005257CC"/>
    <w:rsid w:val="00525D1A"/>
    <w:rsid w:val="005270FD"/>
    <w:rsid w:val="00527AFE"/>
    <w:rsid w:val="005313AC"/>
    <w:rsid w:val="00532133"/>
    <w:rsid w:val="0053322D"/>
    <w:rsid w:val="0053663E"/>
    <w:rsid w:val="00537033"/>
    <w:rsid w:val="0053765F"/>
    <w:rsid w:val="00537BBB"/>
    <w:rsid w:val="00543739"/>
    <w:rsid w:val="00543BB9"/>
    <w:rsid w:val="005458FA"/>
    <w:rsid w:val="00546611"/>
    <w:rsid w:val="005477FE"/>
    <w:rsid w:val="00550997"/>
    <w:rsid w:val="00551427"/>
    <w:rsid w:val="00552591"/>
    <w:rsid w:val="005570C8"/>
    <w:rsid w:val="005572A1"/>
    <w:rsid w:val="00557485"/>
    <w:rsid w:val="00560607"/>
    <w:rsid w:val="00561EFF"/>
    <w:rsid w:val="0056596B"/>
    <w:rsid w:val="00566423"/>
    <w:rsid w:val="0056706B"/>
    <w:rsid w:val="005672CE"/>
    <w:rsid w:val="00572582"/>
    <w:rsid w:val="00581D25"/>
    <w:rsid w:val="00581F86"/>
    <w:rsid w:val="00583CCD"/>
    <w:rsid w:val="00586499"/>
    <w:rsid w:val="00591D41"/>
    <w:rsid w:val="00593C54"/>
    <w:rsid w:val="00594214"/>
    <w:rsid w:val="00594E2C"/>
    <w:rsid w:val="00595A29"/>
    <w:rsid w:val="0059613C"/>
    <w:rsid w:val="005A2582"/>
    <w:rsid w:val="005A3FB8"/>
    <w:rsid w:val="005A47AE"/>
    <w:rsid w:val="005A4CCB"/>
    <w:rsid w:val="005A5771"/>
    <w:rsid w:val="005B0AB5"/>
    <w:rsid w:val="005B0B4E"/>
    <w:rsid w:val="005B1850"/>
    <w:rsid w:val="005B285B"/>
    <w:rsid w:val="005B297A"/>
    <w:rsid w:val="005B5A48"/>
    <w:rsid w:val="005B6D9D"/>
    <w:rsid w:val="005B76BD"/>
    <w:rsid w:val="005C04C7"/>
    <w:rsid w:val="005C1E5E"/>
    <w:rsid w:val="005C6163"/>
    <w:rsid w:val="005D267B"/>
    <w:rsid w:val="005D3C16"/>
    <w:rsid w:val="005D3E5C"/>
    <w:rsid w:val="005D4225"/>
    <w:rsid w:val="005D4CD9"/>
    <w:rsid w:val="005D6A7F"/>
    <w:rsid w:val="005D760D"/>
    <w:rsid w:val="005E15B0"/>
    <w:rsid w:val="005E1D5F"/>
    <w:rsid w:val="005E3F68"/>
    <w:rsid w:val="005E5D77"/>
    <w:rsid w:val="005F271D"/>
    <w:rsid w:val="005F477F"/>
    <w:rsid w:val="005F49D5"/>
    <w:rsid w:val="005F6126"/>
    <w:rsid w:val="005F6139"/>
    <w:rsid w:val="005F6A81"/>
    <w:rsid w:val="005F6DEF"/>
    <w:rsid w:val="005F7EF0"/>
    <w:rsid w:val="00602BF8"/>
    <w:rsid w:val="006041EC"/>
    <w:rsid w:val="0060506C"/>
    <w:rsid w:val="0061037E"/>
    <w:rsid w:val="00611C70"/>
    <w:rsid w:val="00614AF2"/>
    <w:rsid w:val="0061542C"/>
    <w:rsid w:val="00617254"/>
    <w:rsid w:val="00620936"/>
    <w:rsid w:val="006229AB"/>
    <w:rsid w:val="006234F1"/>
    <w:rsid w:val="0062606F"/>
    <w:rsid w:val="006272D6"/>
    <w:rsid w:val="00631020"/>
    <w:rsid w:val="006340FC"/>
    <w:rsid w:val="00637793"/>
    <w:rsid w:val="006411F8"/>
    <w:rsid w:val="00641B3E"/>
    <w:rsid w:val="006427E7"/>
    <w:rsid w:val="006468A7"/>
    <w:rsid w:val="006475FD"/>
    <w:rsid w:val="006553F8"/>
    <w:rsid w:val="006611A5"/>
    <w:rsid w:val="00661AA8"/>
    <w:rsid w:val="00665879"/>
    <w:rsid w:val="00665AA4"/>
    <w:rsid w:val="00667967"/>
    <w:rsid w:val="00667CFB"/>
    <w:rsid w:val="006701CD"/>
    <w:rsid w:val="00670B76"/>
    <w:rsid w:val="00674548"/>
    <w:rsid w:val="00674C08"/>
    <w:rsid w:val="00674F62"/>
    <w:rsid w:val="00675B48"/>
    <w:rsid w:val="00675C8C"/>
    <w:rsid w:val="006761C3"/>
    <w:rsid w:val="00676348"/>
    <w:rsid w:val="00676611"/>
    <w:rsid w:val="00683002"/>
    <w:rsid w:val="00683272"/>
    <w:rsid w:val="00683520"/>
    <w:rsid w:val="00683980"/>
    <w:rsid w:val="00684698"/>
    <w:rsid w:val="00686DD6"/>
    <w:rsid w:val="006908CD"/>
    <w:rsid w:val="006924C4"/>
    <w:rsid w:val="00692EE6"/>
    <w:rsid w:val="00696C2D"/>
    <w:rsid w:val="006A763F"/>
    <w:rsid w:val="006B1D16"/>
    <w:rsid w:val="006B400B"/>
    <w:rsid w:val="006B42AD"/>
    <w:rsid w:val="006C0F15"/>
    <w:rsid w:val="006C12F7"/>
    <w:rsid w:val="006C1A1D"/>
    <w:rsid w:val="006C54E2"/>
    <w:rsid w:val="006D42DC"/>
    <w:rsid w:val="006D5C17"/>
    <w:rsid w:val="006E0AD6"/>
    <w:rsid w:val="006E1987"/>
    <w:rsid w:val="006E50B4"/>
    <w:rsid w:val="006E5439"/>
    <w:rsid w:val="006E6407"/>
    <w:rsid w:val="006E6AB0"/>
    <w:rsid w:val="006E6DC9"/>
    <w:rsid w:val="006E7135"/>
    <w:rsid w:val="006F25ED"/>
    <w:rsid w:val="006F3485"/>
    <w:rsid w:val="006F3C5D"/>
    <w:rsid w:val="00701E7B"/>
    <w:rsid w:val="00703AF0"/>
    <w:rsid w:val="00707507"/>
    <w:rsid w:val="00710A9C"/>
    <w:rsid w:val="00710E02"/>
    <w:rsid w:val="00711E90"/>
    <w:rsid w:val="00713219"/>
    <w:rsid w:val="00714942"/>
    <w:rsid w:val="00715BB1"/>
    <w:rsid w:val="0072058A"/>
    <w:rsid w:val="007215CC"/>
    <w:rsid w:val="007217C3"/>
    <w:rsid w:val="007222BF"/>
    <w:rsid w:val="00722628"/>
    <w:rsid w:val="00722747"/>
    <w:rsid w:val="007242B8"/>
    <w:rsid w:val="007245FD"/>
    <w:rsid w:val="00727503"/>
    <w:rsid w:val="00730BD3"/>
    <w:rsid w:val="007310D6"/>
    <w:rsid w:val="00735CBD"/>
    <w:rsid w:val="00742ABE"/>
    <w:rsid w:val="00747851"/>
    <w:rsid w:val="00750139"/>
    <w:rsid w:val="007537D4"/>
    <w:rsid w:val="0075432F"/>
    <w:rsid w:val="007549B1"/>
    <w:rsid w:val="00755639"/>
    <w:rsid w:val="00756443"/>
    <w:rsid w:val="00757812"/>
    <w:rsid w:val="00757F44"/>
    <w:rsid w:val="007606E0"/>
    <w:rsid w:val="00762FCD"/>
    <w:rsid w:val="0076315A"/>
    <w:rsid w:val="00764ED9"/>
    <w:rsid w:val="00765420"/>
    <w:rsid w:val="007659F8"/>
    <w:rsid w:val="007663AF"/>
    <w:rsid w:val="00771AF9"/>
    <w:rsid w:val="00773789"/>
    <w:rsid w:val="00773985"/>
    <w:rsid w:val="007747AB"/>
    <w:rsid w:val="007759B4"/>
    <w:rsid w:val="00781502"/>
    <w:rsid w:val="007820D1"/>
    <w:rsid w:val="007851B4"/>
    <w:rsid w:val="00791FC1"/>
    <w:rsid w:val="00795228"/>
    <w:rsid w:val="007A1D46"/>
    <w:rsid w:val="007A66AF"/>
    <w:rsid w:val="007A69C9"/>
    <w:rsid w:val="007B010F"/>
    <w:rsid w:val="007B1BD8"/>
    <w:rsid w:val="007B2861"/>
    <w:rsid w:val="007B79A1"/>
    <w:rsid w:val="007C171B"/>
    <w:rsid w:val="007C4994"/>
    <w:rsid w:val="007C4A65"/>
    <w:rsid w:val="007C5670"/>
    <w:rsid w:val="007C7948"/>
    <w:rsid w:val="007D040C"/>
    <w:rsid w:val="007D0677"/>
    <w:rsid w:val="007D2A08"/>
    <w:rsid w:val="007D579E"/>
    <w:rsid w:val="007E10E9"/>
    <w:rsid w:val="007E5EC6"/>
    <w:rsid w:val="007F0C11"/>
    <w:rsid w:val="007F3843"/>
    <w:rsid w:val="007F51B6"/>
    <w:rsid w:val="007F5A51"/>
    <w:rsid w:val="007F5D4C"/>
    <w:rsid w:val="007F71FD"/>
    <w:rsid w:val="007F7203"/>
    <w:rsid w:val="007F7F66"/>
    <w:rsid w:val="008029C0"/>
    <w:rsid w:val="00803468"/>
    <w:rsid w:val="008035AB"/>
    <w:rsid w:val="00804988"/>
    <w:rsid w:val="008065D2"/>
    <w:rsid w:val="00807FBA"/>
    <w:rsid w:val="008101E9"/>
    <w:rsid w:val="00812431"/>
    <w:rsid w:val="00813F65"/>
    <w:rsid w:val="008146A2"/>
    <w:rsid w:val="00814A87"/>
    <w:rsid w:val="00814C75"/>
    <w:rsid w:val="008165B7"/>
    <w:rsid w:val="008207E4"/>
    <w:rsid w:val="00820A8A"/>
    <w:rsid w:val="008212E3"/>
    <w:rsid w:val="008300B9"/>
    <w:rsid w:val="008355B1"/>
    <w:rsid w:val="00837851"/>
    <w:rsid w:val="00840B8D"/>
    <w:rsid w:val="00840D82"/>
    <w:rsid w:val="00843294"/>
    <w:rsid w:val="00844FB2"/>
    <w:rsid w:val="0084503C"/>
    <w:rsid w:val="008501BE"/>
    <w:rsid w:val="00853FD0"/>
    <w:rsid w:val="008564AE"/>
    <w:rsid w:val="00856AAD"/>
    <w:rsid w:val="00861AD5"/>
    <w:rsid w:val="008628B0"/>
    <w:rsid w:val="00866E41"/>
    <w:rsid w:val="00867609"/>
    <w:rsid w:val="0087065B"/>
    <w:rsid w:val="00875B3E"/>
    <w:rsid w:val="008768E4"/>
    <w:rsid w:val="008778DB"/>
    <w:rsid w:val="00886663"/>
    <w:rsid w:val="00886FAB"/>
    <w:rsid w:val="0089034B"/>
    <w:rsid w:val="00890F2E"/>
    <w:rsid w:val="00892A07"/>
    <w:rsid w:val="00894B11"/>
    <w:rsid w:val="00896FD5"/>
    <w:rsid w:val="008977B2"/>
    <w:rsid w:val="00897E96"/>
    <w:rsid w:val="008A1693"/>
    <w:rsid w:val="008B75DF"/>
    <w:rsid w:val="008B7BBA"/>
    <w:rsid w:val="008C15E7"/>
    <w:rsid w:val="008C1B64"/>
    <w:rsid w:val="008C3D6C"/>
    <w:rsid w:val="008C67C1"/>
    <w:rsid w:val="008D04F7"/>
    <w:rsid w:val="008D1C3F"/>
    <w:rsid w:val="008D2731"/>
    <w:rsid w:val="008D2CE7"/>
    <w:rsid w:val="008D2F60"/>
    <w:rsid w:val="008D619A"/>
    <w:rsid w:val="008E3F7C"/>
    <w:rsid w:val="008F2538"/>
    <w:rsid w:val="008F4707"/>
    <w:rsid w:val="008F7001"/>
    <w:rsid w:val="008F79B3"/>
    <w:rsid w:val="00900D67"/>
    <w:rsid w:val="00903D5C"/>
    <w:rsid w:val="0090728B"/>
    <w:rsid w:val="009073EC"/>
    <w:rsid w:val="00907C1B"/>
    <w:rsid w:val="0091033E"/>
    <w:rsid w:val="00910E7D"/>
    <w:rsid w:val="00911B48"/>
    <w:rsid w:val="00912A9A"/>
    <w:rsid w:val="00915E24"/>
    <w:rsid w:val="009226D4"/>
    <w:rsid w:val="009258A6"/>
    <w:rsid w:val="009261E6"/>
    <w:rsid w:val="009269A5"/>
    <w:rsid w:val="009317D1"/>
    <w:rsid w:val="009330AB"/>
    <w:rsid w:val="009345FF"/>
    <w:rsid w:val="00936A9E"/>
    <w:rsid w:val="009404C2"/>
    <w:rsid w:val="00941EB7"/>
    <w:rsid w:val="00942FDE"/>
    <w:rsid w:val="0094316A"/>
    <w:rsid w:val="009433D2"/>
    <w:rsid w:val="00944258"/>
    <w:rsid w:val="00944E3A"/>
    <w:rsid w:val="0095124E"/>
    <w:rsid w:val="0095205E"/>
    <w:rsid w:val="00957625"/>
    <w:rsid w:val="00960068"/>
    <w:rsid w:val="00961D83"/>
    <w:rsid w:val="00962F69"/>
    <w:rsid w:val="00966A22"/>
    <w:rsid w:val="00966A48"/>
    <w:rsid w:val="00970FA3"/>
    <w:rsid w:val="009725E0"/>
    <w:rsid w:val="00972FBD"/>
    <w:rsid w:val="00975486"/>
    <w:rsid w:val="009759B6"/>
    <w:rsid w:val="00976AD6"/>
    <w:rsid w:val="00980256"/>
    <w:rsid w:val="0098123F"/>
    <w:rsid w:val="00982860"/>
    <w:rsid w:val="00983C09"/>
    <w:rsid w:val="00984BC7"/>
    <w:rsid w:val="00985DDB"/>
    <w:rsid w:val="009866C4"/>
    <w:rsid w:val="009902A7"/>
    <w:rsid w:val="00990673"/>
    <w:rsid w:val="009958F3"/>
    <w:rsid w:val="00995C5E"/>
    <w:rsid w:val="00997322"/>
    <w:rsid w:val="00997693"/>
    <w:rsid w:val="009A09AF"/>
    <w:rsid w:val="009A1973"/>
    <w:rsid w:val="009A1F7F"/>
    <w:rsid w:val="009A2397"/>
    <w:rsid w:val="009A48E7"/>
    <w:rsid w:val="009A4AD1"/>
    <w:rsid w:val="009A5F48"/>
    <w:rsid w:val="009A7A91"/>
    <w:rsid w:val="009A7B10"/>
    <w:rsid w:val="009B22A6"/>
    <w:rsid w:val="009B4BB5"/>
    <w:rsid w:val="009B653F"/>
    <w:rsid w:val="009B6A5A"/>
    <w:rsid w:val="009C1666"/>
    <w:rsid w:val="009C2653"/>
    <w:rsid w:val="009C4277"/>
    <w:rsid w:val="009C4828"/>
    <w:rsid w:val="009C631F"/>
    <w:rsid w:val="009D1EE6"/>
    <w:rsid w:val="009D2504"/>
    <w:rsid w:val="009D279D"/>
    <w:rsid w:val="009D342C"/>
    <w:rsid w:val="009D3F73"/>
    <w:rsid w:val="009D75D7"/>
    <w:rsid w:val="009E386A"/>
    <w:rsid w:val="009E4DCC"/>
    <w:rsid w:val="009E6DB8"/>
    <w:rsid w:val="009F0251"/>
    <w:rsid w:val="009F0542"/>
    <w:rsid w:val="009F278C"/>
    <w:rsid w:val="009F40E6"/>
    <w:rsid w:val="009F543E"/>
    <w:rsid w:val="009F5739"/>
    <w:rsid w:val="009F6226"/>
    <w:rsid w:val="00A0097B"/>
    <w:rsid w:val="00A06289"/>
    <w:rsid w:val="00A109BF"/>
    <w:rsid w:val="00A11167"/>
    <w:rsid w:val="00A136FE"/>
    <w:rsid w:val="00A167D6"/>
    <w:rsid w:val="00A201DF"/>
    <w:rsid w:val="00A20253"/>
    <w:rsid w:val="00A2347B"/>
    <w:rsid w:val="00A2486E"/>
    <w:rsid w:val="00A251CC"/>
    <w:rsid w:val="00A25B25"/>
    <w:rsid w:val="00A32934"/>
    <w:rsid w:val="00A34843"/>
    <w:rsid w:val="00A34D74"/>
    <w:rsid w:val="00A3504F"/>
    <w:rsid w:val="00A36387"/>
    <w:rsid w:val="00A37656"/>
    <w:rsid w:val="00A42871"/>
    <w:rsid w:val="00A43D28"/>
    <w:rsid w:val="00A44541"/>
    <w:rsid w:val="00A50E7C"/>
    <w:rsid w:val="00A51D8F"/>
    <w:rsid w:val="00A52273"/>
    <w:rsid w:val="00A54D55"/>
    <w:rsid w:val="00A54DA6"/>
    <w:rsid w:val="00A55F2C"/>
    <w:rsid w:val="00A565F3"/>
    <w:rsid w:val="00A56785"/>
    <w:rsid w:val="00A5738C"/>
    <w:rsid w:val="00A60E05"/>
    <w:rsid w:val="00A60FA4"/>
    <w:rsid w:val="00A612B0"/>
    <w:rsid w:val="00A62930"/>
    <w:rsid w:val="00A665B1"/>
    <w:rsid w:val="00A70D91"/>
    <w:rsid w:val="00A720FD"/>
    <w:rsid w:val="00A7233A"/>
    <w:rsid w:val="00A74209"/>
    <w:rsid w:val="00A76A25"/>
    <w:rsid w:val="00A76E06"/>
    <w:rsid w:val="00A76F2E"/>
    <w:rsid w:val="00A76FB7"/>
    <w:rsid w:val="00A77BDB"/>
    <w:rsid w:val="00A803E1"/>
    <w:rsid w:val="00A81930"/>
    <w:rsid w:val="00A81CCF"/>
    <w:rsid w:val="00A81F86"/>
    <w:rsid w:val="00A81F8E"/>
    <w:rsid w:val="00A81FD8"/>
    <w:rsid w:val="00A84246"/>
    <w:rsid w:val="00A84BBC"/>
    <w:rsid w:val="00A8573B"/>
    <w:rsid w:val="00A85A22"/>
    <w:rsid w:val="00A86225"/>
    <w:rsid w:val="00A86FCA"/>
    <w:rsid w:val="00A91E03"/>
    <w:rsid w:val="00A92209"/>
    <w:rsid w:val="00A94568"/>
    <w:rsid w:val="00A958EF"/>
    <w:rsid w:val="00A96D64"/>
    <w:rsid w:val="00A97AB2"/>
    <w:rsid w:val="00AA3DCD"/>
    <w:rsid w:val="00AA464E"/>
    <w:rsid w:val="00AA73C4"/>
    <w:rsid w:val="00AB2666"/>
    <w:rsid w:val="00AB4212"/>
    <w:rsid w:val="00AB43F4"/>
    <w:rsid w:val="00AB62EA"/>
    <w:rsid w:val="00AC026B"/>
    <w:rsid w:val="00AC1FCB"/>
    <w:rsid w:val="00AD169D"/>
    <w:rsid w:val="00AD518A"/>
    <w:rsid w:val="00AD7755"/>
    <w:rsid w:val="00AD7DA0"/>
    <w:rsid w:val="00AE209E"/>
    <w:rsid w:val="00AE5A61"/>
    <w:rsid w:val="00AE5C26"/>
    <w:rsid w:val="00AE6F17"/>
    <w:rsid w:val="00AF0263"/>
    <w:rsid w:val="00AF21C1"/>
    <w:rsid w:val="00AF44FA"/>
    <w:rsid w:val="00AF5E11"/>
    <w:rsid w:val="00AF5F8F"/>
    <w:rsid w:val="00AF795F"/>
    <w:rsid w:val="00B021E9"/>
    <w:rsid w:val="00B02371"/>
    <w:rsid w:val="00B0267B"/>
    <w:rsid w:val="00B05BFD"/>
    <w:rsid w:val="00B0621E"/>
    <w:rsid w:val="00B133C5"/>
    <w:rsid w:val="00B14BE3"/>
    <w:rsid w:val="00B14C8D"/>
    <w:rsid w:val="00B16D08"/>
    <w:rsid w:val="00B20D46"/>
    <w:rsid w:val="00B217C1"/>
    <w:rsid w:val="00B25C6F"/>
    <w:rsid w:val="00B265C0"/>
    <w:rsid w:val="00B33468"/>
    <w:rsid w:val="00B33E4F"/>
    <w:rsid w:val="00B37FF8"/>
    <w:rsid w:val="00B41D3B"/>
    <w:rsid w:val="00B426DE"/>
    <w:rsid w:val="00B42CBC"/>
    <w:rsid w:val="00B439F2"/>
    <w:rsid w:val="00B4477C"/>
    <w:rsid w:val="00B45334"/>
    <w:rsid w:val="00B45AE0"/>
    <w:rsid w:val="00B46A88"/>
    <w:rsid w:val="00B47624"/>
    <w:rsid w:val="00B52C59"/>
    <w:rsid w:val="00B54BBA"/>
    <w:rsid w:val="00B56678"/>
    <w:rsid w:val="00B60482"/>
    <w:rsid w:val="00B72A6A"/>
    <w:rsid w:val="00B73354"/>
    <w:rsid w:val="00B742D4"/>
    <w:rsid w:val="00B75C06"/>
    <w:rsid w:val="00B778FF"/>
    <w:rsid w:val="00B8029A"/>
    <w:rsid w:val="00B81630"/>
    <w:rsid w:val="00B83694"/>
    <w:rsid w:val="00B84259"/>
    <w:rsid w:val="00B85793"/>
    <w:rsid w:val="00B85F98"/>
    <w:rsid w:val="00B905B2"/>
    <w:rsid w:val="00B90797"/>
    <w:rsid w:val="00B95506"/>
    <w:rsid w:val="00B95F53"/>
    <w:rsid w:val="00BA0B2D"/>
    <w:rsid w:val="00BA4CB5"/>
    <w:rsid w:val="00BA4F58"/>
    <w:rsid w:val="00BB08D8"/>
    <w:rsid w:val="00BB160F"/>
    <w:rsid w:val="00BB265B"/>
    <w:rsid w:val="00BB2AEF"/>
    <w:rsid w:val="00BB4115"/>
    <w:rsid w:val="00BB4527"/>
    <w:rsid w:val="00BB4FA9"/>
    <w:rsid w:val="00BC0F46"/>
    <w:rsid w:val="00BC216C"/>
    <w:rsid w:val="00BC36D9"/>
    <w:rsid w:val="00BC61F4"/>
    <w:rsid w:val="00BC6691"/>
    <w:rsid w:val="00BC7159"/>
    <w:rsid w:val="00BC76C7"/>
    <w:rsid w:val="00BC7929"/>
    <w:rsid w:val="00BC7F3E"/>
    <w:rsid w:val="00BD1220"/>
    <w:rsid w:val="00BD25B5"/>
    <w:rsid w:val="00BD3471"/>
    <w:rsid w:val="00BD41AB"/>
    <w:rsid w:val="00BD5346"/>
    <w:rsid w:val="00BD773F"/>
    <w:rsid w:val="00BE0E04"/>
    <w:rsid w:val="00BE3485"/>
    <w:rsid w:val="00BE3C0E"/>
    <w:rsid w:val="00BE66DC"/>
    <w:rsid w:val="00BE6A8D"/>
    <w:rsid w:val="00BE7290"/>
    <w:rsid w:val="00BF0F07"/>
    <w:rsid w:val="00BF1EEF"/>
    <w:rsid w:val="00C00CD5"/>
    <w:rsid w:val="00C023C7"/>
    <w:rsid w:val="00C02F82"/>
    <w:rsid w:val="00C04038"/>
    <w:rsid w:val="00C047F3"/>
    <w:rsid w:val="00C06CE7"/>
    <w:rsid w:val="00C10AF3"/>
    <w:rsid w:val="00C11648"/>
    <w:rsid w:val="00C1288C"/>
    <w:rsid w:val="00C13E61"/>
    <w:rsid w:val="00C14B60"/>
    <w:rsid w:val="00C15668"/>
    <w:rsid w:val="00C15E4F"/>
    <w:rsid w:val="00C15F35"/>
    <w:rsid w:val="00C2042C"/>
    <w:rsid w:val="00C208AC"/>
    <w:rsid w:val="00C20E2E"/>
    <w:rsid w:val="00C23564"/>
    <w:rsid w:val="00C23D63"/>
    <w:rsid w:val="00C24285"/>
    <w:rsid w:val="00C244E5"/>
    <w:rsid w:val="00C24F04"/>
    <w:rsid w:val="00C24FD5"/>
    <w:rsid w:val="00C2645A"/>
    <w:rsid w:val="00C31966"/>
    <w:rsid w:val="00C320FF"/>
    <w:rsid w:val="00C32A5B"/>
    <w:rsid w:val="00C35651"/>
    <w:rsid w:val="00C36DC3"/>
    <w:rsid w:val="00C42A54"/>
    <w:rsid w:val="00C44B41"/>
    <w:rsid w:val="00C4611B"/>
    <w:rsid w:val="00C50115"/>
    <w:rsid w:val="00C529E5"/>
    <w:rsid w:val="00C53BEF"/>
    <w:rsid w:val="00C53DC7"/>
    <w:rsid w:val="00C55681"/>
    <w:rsid w:val="00C56C5A"/>
    <w:rsid w:val="00C57312"/>
    <w:rsid w:val="00C60C0D"/>
    <w:rsid w:val="00C61330"/>
    <w:rsid w:val="00C63AAF"/>
    <w:rsid w:val="00C63F01"/>
    <w:rsid w:val="00C656DF"/>
    <w:rsid w:val="00C66979"/>
    <w:rsid w:val="00C6779F"/>
    <w:rsid w:val="00C716B4"/>
    <w:rsid w:val="00C72FD8"/>
    <w:rsid w:val="00C73D62"/>
    <w:rsid w:val="00C74C93"/>
    <w:rsid w:val="00C761AD"/>
    <w:rsid w:val="00C8095A"/>
    <w:rsid w:val="00C81BCB"/>
    <w:rsid w:val="00C8423B"/>
    <w:rsid w:val="00C843A2"/>
    <w:rsid w:val="00C862A2"/>
    <w:rsid w:val="00C86774"/>
    <w:rsid w:val="00C86917"/>
    <w:rsid w:val="00C86A00"/>
    <w:rsid w:val="00C91528"/>
    <w:rsid w:val="00C942FE"/>
    <w:rsid w:val="00CA66E5"/>
    <w:rsid w:val="00CB2722"/>
    <w:rsid w:val="00CB2BB7"/>
    <w:rsid w:val="00CB3C69"/>
    <w:rsid w:val="00CB6DA6"/>
    <w:rsid w:val="00CC0330"/>
    <w:rsid w:val="00CC03D9"/>
    <w:rsid w:val="00CC474D"/>
    <w:rsid w:val="00CC4DF3"/>
    <w:rsid w:val="00CC68D7"/>
    <w:rsid w:val="00CC78AC"/>
    <w:rsid w:val="00CD010C"/>
    <w:rsid w:val="00CD19E6"/>
    <w:rsid w:val="00CD1BD1"/>
    <w:rsid w:val="00CD1EA9"/>
    <w:rsid w:val="00CD3BA2"/>
    <w:rsid w:val="00CD6EC3"/>
    <w:rsid w:val="00CD7961"/>
    <w:rsid w:val="00CE0EB7"/>
    <w:rsid w:val="00CE2E13"/>
    <w:rsid w:val="00CE31C0"/>
    <w:rsid w:val="00CF4028"/>
    <w:rsid w:val="00CF723D"/>
    <w:rsid w:val="00CF7F4A"/>
    <w:rsid w:val="00D00A07"/>
    <w:rsid w:val="00D0535E"/>
    <w:rsid w:val="00D05DD1"/>
    <w:rsid w:val="00D10703"/>
    <w:rsid w:val="00D118F1"/>
    <w:rsid w:val="00D1381D"/>
    <w:rsid w:val="00D1525C"/>
    <w:rsid w:val="00D1660B"/>
    <w:rsid w:val="00D2000A"/>
    <w:rsid w:val="00D22915"/>
    <w:rsid w:val="00D2463A"/>
    <w:rsid w:val="00D27114"/>
    <w:rsid w:val="00D27BF6"/>
    <w:rsid w:val="00D30AA4"/>
    <w:rsid w:val="00D31559"/>
    <w:rsid w:val="00D3180B"/>
    <w:rsid w:val="00D33081"/>
    <w:rsid w:val="00D3331F"/>
    <w:rsid w:val="00D3364B"/>
    <w:rsid w:val="00D3541E"/>
    <w:rsid w:val="00D43E7D"/>
    <w:rsid w:val="00D46E9A"/>
    <w:rsid w:val="00D47FBA"/>
    <w:rsid w:val="00D509E5"/>
    <w:rsid w:val="00D530B8"/>
    <w:rsid w:val="00D54E2E"/>
    <w:rsid w:val="00D62B7E"/>
    <w:rsid w:val="00D632FF"/>
    <w:rsid w:val="00D64646"/>
    <w:rsid w:val="00D64D08"/>
    <w:rsid w:val="00D65403"/>
    <w:rsid w:val="00D77B91"/>
    <w:rsid w:val="00D821DD"/>
    <w:rsid w:val="00D857FB"/>
    <w:rsid w:val="00D86CCE"/>
    <w:rsid w:val="00D9558F"/>
    <w:rsid w:val="00DA1B6A"/>
    <w:rsid w:val="00DA6336"/>
    <w:rsid w:val="00DA7D97"/>
    <w:rsid w:val="00DB3163"/>
    <w:rsid w:val="00DB34B1"/>
    <w:rsid w:val="00DB475D"/>
    <w:rsid w:val="00DB4C51"/>
    <w:rsid w:val="00DB6491"/>
    <w:rsid w:val="00DB674A"/>
    <w:rsid w:val="00DC4111"/>
    <w:rsid w:val="00DC4232"/>
    <w:rsid w:val="00DC5A95"/>
    <w:rsid w:val="00DC5D3C"/>
    <w:rsid w:val="00DC71B3"/>
    <w:rsid w:val="00DC7FD2"/>
    <w:rsid w:val="00DD27B1"/>
    <w:rsid w:val="00DD3BA5"/>
    <w:rsid w:val="00DD59B7"/>
    <w:rsid w:val="00DD5B14"/>
    <w:rsid w:val="00DD6170"/>
    <w:rsid w:val="00DD6C97"/>
    <w:rsid w:val="00DD6EF1"/>
    <w:rsid w:val="00DE12B4"/>
    <w:rsid w:val="00DE140C"/>
    <w:rsid w:val="00DE45D3"/>
    <w:rsid w:val="00DE48A2"/>
    <w:rsid w:val="00DE74F5"/>
    <w:rsid w:val="00DF0147"/>
    <w:rsid w:val="00DF081E"/>
    <w:rsid w:val="00DF09B7"/>
    <w:rsid w:val="00DF15C7"/>
    <w:rsid w:val="00DF1ABD"/>
    <w:rsid w:val="00DF297E"/>
    <w:rsid w:val="00DF35B2"/>
    <w:rsid w:val="00E02012"/>
    <w:rsid w:val="00E047F0"/>
    <w:rsid w:val="00E06937"/>
    <w:rsid w:val="00E07D34"/>
    <w:rsid w:val="00E121DD"/>
    <w:rsid w:val="00E12D5F"/>
    <w:rsid w:val="00E13131"/>
    <w:rsid w:val="00E14948"/>
    <w:rsid w:val="00E15246"/>
    <w:rsid w:val="00E208AA"/>
    <w:rsid w:val="00E21BE5"/>
    <w:rsid w:val="00E21DCE"/>
    <w:rsid w:val="00E21E8A"/>
    <w:rsid w:val="00E23955"/>
    <w:rsid w:val="00E24285"/>
    <w:rsid w:val="00E242F6"/>
    <w:rsid w:val="00E24B59"/>
    <w:rsid w:val="00E25AE3"/>
    <w:rsid w:val="00E27066"/>
    <w:rsid w:val="00E31F33"/>
    <w:rsid w:val="00E3261B"/>
    <w:rsid w:val="00E32F44"/>
    <w:rsid w:val="00E33ECA"/>
    <w:rsid w:val="00E33FC5"/>
    <w:rsid w:val="00E358D6"/>
    <w:rsid w:val="00E35B6D"/>
    <w:rsid w:val="00E37CCC"/>
    <w:rsid w:val="00E415DA"/>
    <w:rsid w:val="00E539E6"/>
    <w:rsid w:val="00E54A6A"/>
    <w:rsid w:val="00E54F16"/>
    <w:rsid w:val="00E61A70"/>
    <w:rsid w:val="00E65F9F"/>
    <w:rsid w:val="00E709DB"/>
    <w:rsid w:val="00E70A32"/>
    <w:rsid w:val="00E7117C"/>
    <w:rsid w:val="00E747BC"/>
    <w:rsid w:val="00E75316"/>
    <w:rsid w:val="00E75B3D"/>
    <w:rsid w:val="00E7707C"/>
    <w:rsid w:val="00E81F78"/>
    <w:rsid w:val="00E82747"/>
    <w:rsid w:val="00E82805"/>
    <w:rsid w:val="00E844CD"/>
    <w:rsid w:val="00E849E0"/>
    <w:rsid w:val="00E84EAB"/>
    <w:rsid w:val="00E85273"/>
    <w:rsid w:val="00E857EA"/>
    <w:rsid w:val="00E85963"/>
    <w:rsid w:val="00E93CA1"/>
    <w:rsid w:val="00E943DE"/>
    <w:rsid w:val="00E952AB"/>
    <w:rsid w:val="00E968B2"/>
    <w:rsid w:val="00EA0232"/>
    <w:rsid w:val="00EA0258"/>
    <w:rsid w:val="00EA0F72"/>
    <w:rsid w:val="00EB1BF4"/>
    <w:rsid w:val="00EB2A56"/>
    <w:rsid w:val="00EB3790"/>
    <w:rsid w:val="00EB47B6"/>
    <w:rsid w:val="00EC25A1"/>
    <w:rsid w:val="00EC298E"/>
    <w:rsid w:val="00EC3DD6"/>
    <w:rsid w:val="00EC4E86"/>
    <w:rsid w:val="00EC65DA"/>
    <w:rsid w:val="00EC6EB4"/>
    <w:rsid w:val="00EC6F9D"/>
    <w:rsid w:val="00EC7813"/>
    <w:rsid w:val="00ED2AE7"/>
    <w:rsid w:val="00ED38E4"/>
    <w:rsid w:val="00ED39E9"/>
    <w:rsid w:val="00ED3C8C"/>
    <w:rsid w:val="00ED648A"/>
    <w:rsid w:val="00EE1DFB"/>
    <w:rsid w:val="00EE279B"/>
    <w:rsid w:val="00EE3B1B"/>
    <w:rsid w:val="00EE5AE9"/>
    <w:rsid w:val="00EF00EA"/>
    <w:rsid w:val="00EF62D0"/>
    <w:rsid w:val="00F0077F"/>
    <w:rsid w:val="00F00A4A"/>
    <w:rsid w:val="00F01822"/>
    <w:rsid w:val="00F043DA"/>
    <w:rsid w:val="00F04C74"/>
    <w:rsid w:val="00F06866"/>
    <w:rsid w:val="00F11786"/>
    <w:rsid w:val="00F13033"/>
    <w:rsid w:val="00F15025"/>
    <w:rsid w:val="00F25FFA"/>
    <w:rsid w:val="00F26AF4"/>
    <w:rsid w:val="00F279FA"/>
    <w:rsid w:val="00F30CF2"/>
    <w:rsid w:val="00F30F4C"/>
    <w:rsid w:val="00F333D9"/>
    <w:rsid w:val="00F3496F"/>
    <w:rsid w:val="00F3665E"/>
    <w:rsid w:val="00F36861"/>
    <w:rsid w:val="00F4001E"/>
    <w:rsid w:val="00F40604"/>
    <w:rsid w:val="00F40EFB"/>
    <w:rsid w:val="00F43796"/>
    <w:rsid w:val="00F44056"/>
    <w:rsid w:val="00F44D2C"/>
    <w:rsid w:val="00F510C7"/>
    <w:rsid w:val="00F51885"/>
    <w:rsid w:val="00F528A0"/>
    <w:rsid w:val="00F53641"/>
    <w:rsid w:val="00F5452A"/>
    <w:rsid w:val="00F54E59"/>
    <w:rsid w:val="00F5513B"/>
    <w:rsid w:val="00F55D61"/>
    <w:rsid w:val="00F563B6"/>
    <w:rsid w:val="00F578F2"/>
    <w:rsid w:val="00F61B33"/>
    <w:rsid w:val="00F631A6"/>
    <w:rsid w:val="00F645ED"/>
    <w:rsid w:val="00F6589C"/>
    <w:rsid w:val="00F65AB0"/>
    <w:rsid w:val="00F67023"/>
    <w:rsid w:val="00F673BF"/>
    <w:rsid w:val="00F71E01"/>
    <w:rsid w:val="00F7294C"/>
    <w:rsid w:val="00F73846"/>
    <w:rsid w:val="00F74350"/>
    <w:rsid w:val="00F7734E"/>
    <w:rsid w:val="00F80C7A"/>
    <w:rsid w:val="00F82578"/>
    <w:rsid w:val="00F85239"/>
    <w:rsid w:val="00F865AA"/>
    <w:rsid w:val="00F873A5"/>
    <w:rsid w:val="00F9005F"/>
    <w:rsid w:val="00F915A1"/>
    <w:rsid w:val="00F916D3"/>
    <w:rsid w:val="00F91980"/>
    <w:rsid w:val="00F95301"/>
    <w:rsid w:val="00F95936"/>
    <w:rsid w:val="00FA059F"/>
    <w:rsid w:val="00FA0E0D"/>
    <w:rsid w:val="00FA1982"/>
    <w:rsid w:val="00FA40B8"/>
    <w:rsid w:val="00FA4739"/>
    <w:rsid w:val="00FA6C7D"/>
    <w:rsid w:val="00FB1A92"/>
    <w:rsid w:val="00FB3193"/>
    <w:rsid w:val="00FB5C64"/>
    <w:rsid w:val="00FB7B11"/>
    <w:rsid w:val="00FC046F"/>
    <w:rsid w:val="00FC0673"/>
    <w:rsid w:val="00FC080B"/>
    <w:rsid w:val="00FC08DC"/>
    <w:rsid w:val="00FC1462"/>
    <w:rsid w:val="00FC1EC2"/>
    <w:rsid w:val="00FC74A9"/>
    <w:rsid w:val="00FD1F6C"/>
    <w:rsid w:val="00FD3A3C"/>
    <w:rsid w:val="00FD4C1A"/>
    <w:rsid w:val="00FD5AAF"/>
    <w:rsid w:val="00FD7C4E"/>
    <w:rsid w:val="00FD7F39"/>
    <w:rsid w:val="00FE0FF3"/>
    <w:rsid w:val="00FE19F9"/>
    <w:rsid w:val="00FF007C"/>
    <w:rsid w:val="00FF16C3"/>
    <w:rsid w:val="00FF1F0B"/>
    <w:rsid w:val="00FF2435"/>
    <w:rsid w:val="00FF5A09"/>
    <w:rsid w:val="00FF65C9"/>
    <w:rsid w:val="00FF7F3C"/>
  </w:rsids>
  <m:mathPr>
    <m:mathFont m:val="Cambria Math"/>
    <m:brkBin m:val="before"/>
    <m:brkBinSub m:val="--"/>
    <m:smallFrac m:val="0"/>
    <m:dispDef/>
    <m:lMargin m:val="0"/>
    <m:rMargin m:val="0"/>
    <m:defJc m:val="centerGroup"/>
    <m:wrapIndent m:val="1440"/>
    <m:intLim m:val="subSup"/>
    <m:naryLim m:val="undOvr"/>
  </m:mathPr>
  <w:themeFontLang w:val="en-US" w:eastAsia="zh-CN" w:bidi="yi-He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C46E0"/>
  <w15:chartTrackingRefBased/>
  <w15:docId w15:val="{111B51F9-B52C-8649-AA65-FE48BFF1A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Bodoni 72" w:hAnsi="Bodoni 72" w:cs="Times New Roman (Body CS)" w:eastAsiaTheme="minorEastAsia"/>
        <w:kern w:val="2"/>
        <w:sz w:val="24"/>
        <w:szCs w:val="24"/>
        <w:lang w:val="es-E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146A2"/>
    <w:pPr>
      <w:keepNext/>
      <w:keepLines/>
      <w:spacing w:before="360" w:after="80"/>
      <w:outlineLvl w:val="0"/>
    </w:pPr>
    <w:rPr>
      <w:rFonts w:ascii="Times New Roman" w:hAnsi="Times New Roman" w:cs="Times New Roman" w:eastAsiaTheme="majorEastAsia"/>
      <w:color w:val="000000" w:themeColor="text1"/>
      <w:sz w:val="32"/>
      <w:szCs w:val="32"/>
    </w:rPr>
  </w:style>
  <w:style w:type="paragraph" w:styleId="Heading2">
    <w:name w:val="heading 2"/>
    <w:basedOn w:val="Normal"/>
    <w:next w:val="Normal"/>
    <w:link w:val="Heading2Char"/>
    <w:uiPriority w:val="9"/>
    <w:unhideWhenUsed/>
    <w:qFormat/>
    <w:rsid w:val="00892A0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2A07"/>
    <w:pPr>
      <w:keepNext/>
      <w:keepLines/>
      <w:spacing w:before="160" w:after="80"/>
      <w:outlineLvl w:val="2"/>
    </w:pPr>
    <w:rPr>
      <w:rFonts w:asciiTheme="minorHAnsi" w:hAnsiTheme="minorHAnsi"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2A07"/>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2A07"/>
    <w:pPr>
      <w:keepNext/>
      <w:keepLines/>
      <w:spacing w:before="80" w:after="40"/>
      <w:outlineLvl w:val="4"/>
    </w:pPr>
    <w:rPr>
      <w:rFonts w:asciiTheme="minorHAnsi" w:hAnsiTheme="min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2A07"/>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2A07"/>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2A07"/>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2A07"/>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146A2"/>
    <w:rPr>
      <w:rFonts w:ascii="Times New Roman" w:hAnsi="Times New Roman" w:cs="Times New Roman" w:eastAsiaTheme="majorEastAsia"/>
      <w:color w:val="000000" w:themeColor="text1"/>
      <w:sz w:val="32"/>
      <w:szCs w:val="32"/>
    </w:rPr>
  </w:style>
  <w:style w:type="character" w:styleId="Heading2Char" w:customStyle="1">
    <w:name w:val="Heading 2 Char"/>
    <w:basedOn w:val="DefaultParagraphFont"/>
    <w:link w:val="Heading2"/>
    <w:uiPriority w:val="9"/>
    <w:rsid w:val="00892A0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92A07"/>
    <w:rPr>
      <w:rFonts w:asciiTheme="minorHAnsi" w:hAnsiTheme="minorHAnsi"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92A07"/>
    <w:rPr>
      <w:rFonts w:asciiTheme="minorHAnsi" w:hAnsiTheme="minorHAnsi"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92A07"/>
    <w:rPr>
      <w:rFonts w:asciiTheme="minorHAnsi" w:hAnsiTheme="minorHAnsi"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92A07"/>
    <w:rPr>
      <w:rFonts w:asciiTheme="minorHAnsi" w:hAnsiTheme="minorHAnsi"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92A07"/>
    <w:rPr>
      <w:rFonts w:asciiTheme="minorHAnsi" w:hAnsiTheme="minorHAnsi"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92A07"/>
    <w:rPr>
      <w:rFonts w:asciiTheme="minorHAnsi" w:hAnsiTheme="minorHAnsi"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92A07"/>
    <w:rPr>
      <w:rFonts w:asciiTheme="minorHAnsi" w:hAnsiTheme="minorHAnsi" w:eastAsiaTheme="majorEastAsia" w:cstheme="majorBidi"/>
      <w:color w:val="272727" w:themeColor="text1" w:themeTint="D8"/>
    </w:rPr>
  </w:style>
  <w:style w:type="paragraph" w:styleId="Title">
    <w:name w:val="Title"/>
    <w:basedOn w:val="Normal"/>
    <w:next w:val="Normal"/>
    <w:link w:val="TitleChar"/>
    <w:uiPriority w:val="10"/>
    <w:qFormat/>
    <w:rsid w:val="00892A07"/>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92A0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92A07"/>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92A07"/>
    <w:rPr>
      <w:rFonts w:asciiTheme="minorHAnsi" w:hAnsiTheme="minorHAnsi"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2A07"/>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892A07"/>
    <w:rPr>
      <w:i/>
      <w:iCs/>
      <w:color w:val="404040" w:themeColor="text1" w:themeTint="BF"/>
    </w:rPr>
  </w:style>
  <w:style w:type="paragraph" w:styleId="ListParagraph">
    <w:name w:val="List Paragraph"/>
    <w:basedOn w:val="Normal"/>
    <w:uiPriority w:val="34"/>
    <w:qFormat/>
    <w:rsid w:val="00892A07"/>
    <w:pPr>
      <w:ind w:left="720"/>
      <w:contextualSpacing/>
    </w:pPr>
  </w:style>
  <w:style w:type="character" w:styleId="IntenseEmphasis">
    <w:name w:val="Intense Emphasis"/>
    <w:basedOn w:val="DefaultParagraphFont"/>
    <w:uiPriority w:val="21"/>
    <w:qFormat/>
    <w:rsid w:val="00892A07"/>
    <w:rPr>
      <w:i/>
      <w:iCs/>
      <w:color w:val="0F4761" w:themeColor="accent1" w:themeShade="BF"/>
    </w:rPr>
  </w:style>
  <w:style w:type="paragraph" w:styleId="IntenseQuote">
    <w:name w:val="Intense Quote"/>
    <w:basedOn w:val="Normal"/>
    <w:next w:val="Normal"/>
    <w:link w:val="IntenseQuoteChar"/>
    <w:uiPriority w:val="30"/>
    <w:qFormat/>
    <w:rsid w:val="00892A0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92A07"/>
    <w:rPr>
      <w:i/>
      <w:iCs/>
      <w:color w:val="0F4761" w:themeColor="accent1" w:themeShade="BF"/>
    </w:rPr>
  </w:style>
  <w:style w:type="character" w:styleId="IntenseReference">
    <w:name w:val="Intense Reference"/>
    <w:basedOn w:val="DefaultParagraphFont"/>
    <w:uiPriority w:val="32"/>
    <w:qFormat/>
    <w:rsid w:val="00892A07"/>
    <w:rPr>
      <w:b/>
      <w:bCs/>
      <w:smallCaps/>
      <w:color w:val="0F4761" w:themeColor="accent1" w:themeShade="BF"/>
      <w:spacing w:val="5"/>
    </w:rPr>
  </w:style>
  <w:style w:type="character" w:styleId="Hyperlink">
    <w:name w:val="Hyperlink"/>
    <w:basedOn w:val="DefaultParagraphFont"/>
    <w:uiPriority w:val="99"/>
    <w:unhideWhenUsed/>
    <w:rsid w:val="008355B1"/>
    <w:rPr>
      <w:color w:val="467886" w:themeColor="hyperlink"/>
      <w:u w:val="single"/>
    </w:rPr>
  </w:style>
  <w:style w:type="character" w:styleId="UnresolvedMention">
    <w:name w:val="Unresolved Mention"/>
    <w:basedOn w:val="DefaultParagraphFont"/>
    <w:uiPriority w:val="99"/>
    <w:semiHidden/>
    <w:unhideWhenUsed/>
    <w:rsid w:val="008355B1"/>
    <w:rPr>
      <w:color w:val="605E5C"/>
      <w:shd w:val="clear" w:color="auto" w:fill="E1DFDD"/>
    </w:rPr>
  </w:style>
  <w:style w:type="paragraph" w:styleId="p1" w:customStyle="1">
    <w:name w:val="p1"/>
    <w:basedOn w:val="Normal"/>
    <w:rsid w:val="00843294"/>
    <w:rPr>
      <w:rFonts w:ascii="Helvetica" w:hAnsi="Helvetica" w:eastAsia="Times New Roman" w:cs="Times New Roman"/>
      <w:color w:val="000000"/>
      <w:kern w:val="0"/>
      <w:sz w:val="18"/>
      <w:szCs w:val="18"/>
      <w14:ligatures w14:val="none"/>
    </w:rPr>
  </w:style>
  <w:style w:type="paragraph" w:styleId="p2" w:customStyle="1">
    <w:name w:val="p2"/>
    <w:basedOn w:val="Normal"/>
    <w:rsid w:val="00843294"/>
    <w:rPr>
      <w:rFonts w:ascii="Helvetica" w:hAnsi="Helvetica" w:eastAsia="Times New Roman" w:cs="Times New Roman"/>
      <w:color w:val="535353"/>
      <w:kern w:val="0"/>
      <w:sz w:val="15"/>
      <w:szCs w:val="15"/>
      <w14:ligatures w14:val="none"/>
    </w:rPr>
  </w:style>
  <w:style w:type="paragraph" w:styleId="p3" w:customStyle="1">
    <w:name w:val="p3"/>
    <w:basedOn w:val="Normal"/>
    <w:rsid w:val="00843294"/>
    <w:rPr>
      <w:rFonts w:ascii="Helvetica" w:hAnsi="Helvetica" w:eastAsia="Times New Roman" w:cs="Times New Roman"/>
      <w:color w:val="000000"/>
      <w:kern w:val="0"/>
      <w:sz w:val="15"/>
      <w:szCs w:val="15"/>
      <w14:ligatures w14:val="none"/>
    </w:rPr>
  </w:style>
  <w:style w:type="character" w:styleId="s1" w:customStyle="1">
    <w:name w:val="s1"/>
    <w:basedOn w:val="DefaultParagraphFont"/>
    <w:rsid w:val="00843294"/>
    <w:rPr>
      <w:color w:val="000000"/>
    </w:rPr>
  </w:style>
  <w:style w:type="paragraph" w:styleId="Header">
    <w:name w:val="header"/>
    <w:basedOn w:val="Normal"/>
    <w:link w:val="HeaderChar"/>
    <w:uiPriority w:val="99"/>
    <w:unhideWhenUsed/>
    <w:rsid w:val="00843294"/>
    <w:pPr>
      <w:tabs>
        <w:tab w:val="center" w:pos="4680"/>
        <w:tab w:val="right" w:pos="9360"/>
      </w:tabs>
    </w:pPr>
  </w:style>
  <w:style w:type="character" w:styleId="HeaderChar" w:customStyle="1">
    <w:name w:val="Header Char"/>
    <w:basedOn w:val="DefaultParagraphFont"/>
    <w:link w:val="Header"/>
    <w:uiPriority w:val="99"/>
    <w:rsid w:val="00843294"/>
  </w:style>
  <w:style w:type="paragraph" w:styleId="Footer">
    <w:name w:val="footer"/>
    <w:basedOn w:val="Normal"/>
    <w:link w:val="FooterChar"/>
    <w:uiPriority w:val="99"/>
    <w:unhideWhenUsed/>
    <w:rsid w:val="00843294"/>
    <w:pPr>
      <w:tabs>
        <w:tab w:val="center" w:pos="4680"/>
        <w:tab w:val="right" w:pos="9360"/>
      </w:tabs>
    </w:pPr>
  </w:style>
  <w:style w:type="character" w:styleId="FooterChar" w:customStyle="1">
    <w:name w:val="Footer Char"/>
    <w:basedOn w:val="DefaultParagraphFont"/>
    <w:link w:val="Footer"/>
    <w:uiPriority w:val="99"/>
    <w:rsid w:val="00843294"/>
  </w:style>
  <w:style w:type="character" w:styleId="PageNumber">
    <w:name w:val="page number"/>
    <w:basedOn w:val="DefaultParagraphFont"/>
    <w:uiPriority w:val="99"/>
    <w:semiHidden/>
    <w:unhideWhenUsed/>
    <w:rsid w:val="00843294"/>
  </w:style>
  <w:style w:type="paragraph" w:styleId="Revision">
    <w:name w:val="Revision"/>
    <w:hidden/>
    <w:uiPriority w:val="99"/>
    <w:semiHidden/>
    <w:rsid w:val="004F672D"/>
  </w:style>
  <w:style w:type="character" w:styleId="CommentReference">
    <w:name w:val="annotation reference"/>
    <w:basedOn w:val="DefaultParagraphFont"/>
    <w:uiPriority w:val="99"/>
    <w:semiHidden/>
    <w:unhideWhenUsed/>
    <w:rsid w:val="000E5050"/>
    <w:rPr>
      <w:sz w:val="16"/>
      <w:szCs w:val="16"/>
    </w:rPr>
  </w:style>
  <w:style w:type="paragraph" w:styleId="CommentText">
    <w:name w:val="annotation text"/>
    <w:basedOn w:val="Normal"/>
    <w:link w:val="CommentTextChar"/>
    <w:uiPriority w:val="99"/>
    <w:unhideWhenUsed/>
    <w:rsid w:val="000E5050"/>
    <w:rPr>
      <w:sz w:val="20"/>
      <w:szCs w:val="20"/>
    </w:rPr>
  </w:style>
  <w:style w:type="character" w:styleId="CommentTextChar" w:customStyle="1">
    <w:name w:val="Comment Text Char"/>
    <w:basedOn w:val="DefaultParagraphFont"/>
    <w:link w:val="CommentText"/>
    <w:uiPriority w:val="99"/>
    <w:rsid w:val="000E5050"/>
    <w:rPr>
      <w:sz w:val="20"/>
      <w:szCs w:val="20"/>
    </w:rPr>
  </w:style>
  <w:style w:type="paragraph" w:styleId="CommentSubject">
    <w:name w:val="annotation subject"/>
    <w:basedOn w:val="CommentText"/>
    <w:next w:val="CommentText"/>
    <w:link w:val="CommentSubjectChar"/>
    <w:uiPriority w:val="99"/>
    <w:semiHidden/>
    <w:unhideWhenUsed/>
    <w:rsid w:val="000E5050"/>
    <w:rPr>
      <w:b/>
      <w:bCs/>
    </w:rPr>
  </w:style>
  <w:style w:type="character" w:styleId="CommentSubjectChar" w:customStyle="1">
    <w:name w:val="Comment Subject Char"/>
    <w:basedOn w:val="CommentTextChar"/>
    <w:link w:val="CommentSubject"/>
    <w:uiPriority w:val="99"/>
    <w:semiHidden/>
    <w:rsid w:val="000E5050"/>
    <w:rPr>
      <w:b/>
      <w:bCs/>
      <w:sz w:val="20"/>
      <w:szCs w:val="20"/>
    </w:rPr>
  </w:style>
  <w:style w:type="character" w:styleId="FollowedHyperlink">
    <w:name w:val="FollowedHyperlink"/>
    <w:basedOn w:val="DefaultParagraphFont"/>
    <w:uiPriority w:val="99"/>
    <w:semiHidden/>
    <w:unhideWhenUsed/>
    <w:rsid w:val="0022108B"/>
    <w:rPr>
      <w:color w:val="96607D" w:themeColor="followedHyperlink"/>
      <w:u w:val="single"/>
    </w:rPr>
  </w:style>
  <w:style w:type="paragraph" w:styleId="FootnoteText">
    <w:name w:val="footnote text"/>
    <w:basedOn w:val="Normal"/>
    <w:link w:val="FootnoteTextChar"/>
    <w:uiPriority w:val="99"/>
    <w:unhideWhenUsed/>
    <w:rsid w:val="00500853"/>
    <w:rPr>
      <w:sz w:val="20"/>
      <w:szCs w:val="20"/>
    </w:rPr>
  </w:style>
  <w:style w:type="character" w:styleId="FootnoteTextChar" w:customStyle="1">
    <w:name w:val="Footnote Text Char"/>
    <w:basedOn w:val="DefaultParagraphFont"/>
    <w:link w:val="FootnoteText"/>
    <w:uiPriority w:val="99"/>
    <w:rsid w:val="00500853"/>
    <w:rPr>
      <w:sz w:val="20"/>
      <w:szCs w:val="20"/>
    </w:rPr>
  </w:style>
  <w:style w:type="character" w:styleId="FootnoteReference">
    <w:name w:val="footnote reference"/>
    <w:basedOn w:val="DefaultParagraphFont"/>
    <w:uiPriority w:val="99"/>
    <w:semiHidden/>
    <w:unhideWhenUsed/>
    <w:rsid w:val="00500853"/>
    <w:rPr>
      <w:vertAlign w:val="superscript"/>
    </w:rPr>
  </w:style>
  <w:style w:type="character" w:styleId="Emphasis">
    <w:name w:val="Emphasis"/>
    <w:basedOn w:val="DefaultParagraphFont"/>
    <w:uiPriority w:val="20"/>
    <w:qFormat/>
    <w:rsid w:val="00F578F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1177/2053951715622512" TargetMode="External"/><Relationship Id="rId7" Type="http://schemas.openxmlformats.org/officeDocument/2006/relationships/hyperlink" Target="https://doi.org/10.1093/ct/qtaf022%20(16" TargetMode="External"/><Relationship Id="rId2" Type="http://schemas.openxmlformats.org/officeDocument/2006/relationships/hyperlink" Target="https://doi.org/10.1098/rsta.2023.0160?utm_source=chatgpt.com" TargetMode="External"/><Relationship Id="rId1" Type="http://schemas.openxmlformats.org/officeDocument/2006/relationships/hyperlink" Target="https://doi.org/10.1017/err.2023.37?utm_source=chatgpt.com" TargetMode="External"/><Relationship Id="rId6" Type="http://schemas.openxmlformats.org/officeDocument/2006/relationships/hyperlink" Target="https://doi.org/10.1609/aaai.v39i27.35083" TargetMode="External"/><Relationship Id="rId5" Type="http://schemas.openxmlformats.org/officeDocument/2006/relationships/hyperlink" Target="http://www.ctheory.net/articles.aspx?id=74" TargetMode="External"/><Relationship Id="rId4" Type="http://schemas.openxmlformats.org/officeDocument/2006/relationships/hyperlink" Target="http://www.ctheory.net/articles.aspx?id=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1C88DE4F-47A8-5749-B560-19FF35B74148}">
  <we:reference id="wa104381727" version="1.0.1.0" store="en-US" storeType="OMEX"/>
  <we:alternateReferences>
    <we:reference id="WA104381727" version="1.0.1.0" store="" storeType="OMEX"/>
  </we:alternateReferences>
  <we:properties>
    <we:property name="documentId" value="&quot;76329be25af4292b&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7A15B63F-D2D8-3E49-B713-EA82E18B51BA}">
  <we:reference id="wa104380773" version="2.2.7.0" store="en-US" storeType="OMEX"/>
  <we:alternateReferences>
    <we:reference id="WA104380773" version="2.2.7.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05BDC4-3C35-194E-A686-276A22E0F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33</Pages>
  <Words>12808</Words>
  <Characters>73007</Characters>
  <Application>Microsoft Office Word</Application>
  <DocSecurity>0</DocSecurity>
  <Lines>608</Lines>
  <Paragraphs>171</Paragraphs>
  <ScaleCrop>false</ScaleCrop>
  <HeadingPairs>
    <vt:vector size="2" baseType="variant">
      <vt:variant>
        <vt:lpstr>Title</vt:lpstr>
      </vt:variant>
      <vt:variant>
        <vt:i4>1</vt:i4>
      </vt:variant>
    </vt:vector>
  </HeadingPairs>
  <TitlesOfParts>
    <vt:vector size="1" baseType="lpstr">
      <vt:lpstr>Blockchain Regulatory Systems-Conceptual and Operational Challenges</vt:lpstr>
    </vt:vector>
  </TitlesOfParts>
  <Manager/>
  <Company/>
  <LinksUpToDate>false</LinksUpToDate>
  <CharactersWithSpaces>85644</CharactersWithSpaces>
  <SharedDoc>false</SharedDoc>
  <HyperlinkBase/>
  <HyperlinksChanged>false</HyperlinksChanged>
  <AppVersion>16.0000</AppVersion>
</Properties>
</file>

<file path=docProps/core.xml><?xml version="1.0" encoding="utf-8"?>
<coreProperties xmlns:dc="http://purl.org/dc/elements/1.1/" xmlns:dcterms="http://purl.org/dc/terms/" xmlns:xsi="http://www.w3.org/2001/XMLSchema-instance" xmlns="http://schemas.openxmlformats.org/package/2006/metadata/core-properties">
  <dc:title>Blockchain Regulatory Systems-Conceptual and Operational Challenges</dc:title>
  <dc:subject/>
  <dc:creator>Backer, Larry Cata; Rose, Daniil</dc:creator>
  <keywords>, docId:759C110EE0FE493C4A79C6393A35E1CF</keywords>
  <dc:description/>
  <lastModifiedBy>Backer, Larry Cata</lastModifiedBy>
  <revision>23</revision>
  <lastPrinted>2025-09-27T08:15:00.0000000Z</lastPrinted>
  <dcterms:created xsi:type="dcterms:W3CDTF">2026-10-26T15:55:00.0000000Z</dcterms:created>
  <dcterms:modified xsi:type="dcterms:W3CDTF">2026-11-08T15:35:00.0000000Z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zotero-version="8.0.4"&gt;&lt;session id="n7C7eueE"/&gt;&lt;style id="http://www.zotero.org/styles/bluebook-law-review" hasBibliography="0" bibliographyStyleHasBeenSet="0"/&gt;&lt;prefs&gt;&lt;pref name="fieldType" value="Field"/&gt;&lt;pref name="automaticJourn</vt:lpwstr>
  </property>
  <property fmtid="{D5CDD505-2E9C-101B-9397-08002B2CF9AE}" pid="3" name="ZOTERO_PREF_2">
    <vt:lpwstr>alAbbreviations" value="true"/&gt;&lt;pref name="noteType" value="1"/&gt;&lt;/prefs&gt;&lt;/data&gt;</vt:lpwstr>
  </property>
</Properties>
</file>