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145615" w14:textId="77777777" w:rsidR="009E0194" w:rsidRDefault="009E0194" w:rsidP="009E0194">
      <w:pPr>
        <w:pStyle w:val="Heading1"/>
        <w:spacing w:line="240" w:lineRule="auto"/>
        <w:jc w:val="center"/>
        <w:rPr>
          <w:sz w:val="36"/>
          <w:szCs w:val="36"/>
        </w:rPr>
      </w:pPr>
      <w:r w:rsidRPr="00A219C8">
        <w:rPr>
          <w:sz w:val="36"/>
          <w:szCs w:val="36"/>
        </w:rPr>
        <w:t>But Can You Drown a Demon?</w:t>
      </w:r>
    </w:p>
    <w:p w14:paraId="7A3752BF" w14:textId="77777777" w:rsidR="009E0194" w:rsidRPr="00A219C8" w:rsidRDefault="009E0194" w:rsidP="009E0194">
      <w:pPr>
        <w:pStyle w:val="Heading1"/>
        <w:spacing w:line="240" w:lineRule="auto"/>
        <w:jc w:val="center"/>
        <w:rPr>
          <w:sz w:val="28"/>
          <w:szCs w:val="28"/>
        </w:rPr>
      </w:pPr>
      <w:r w:rsidRPr="00A219C8">
        <w:rPr>
          <w:sz w:val="36"/>
          <w:szCs w:val="36"/>
        </w:rPr>
        <w:t xml:space="preserve"> </w:t>
      </w:r>
      <w:r w:rsidRPr="00A219C8">
        <w:rPr>
          <w:sz w:val="28"/>
          <w:szCs w:val="28"/>
        </w:rPr>
        <w:t>Reflections on Mark Zuckerberg-- "The AI Future Is for Everyone" The Gerasene Protocol (Mark 5:1–13) as a Structural Scaffold for Reading the Oracular Discourses of the AI Vanguard</w:t>
      </w:r>
    </w:p>
    <w:p w14:paraId="376E519D" w14:textId="77777777" w:rsidR="009E0194" w:rsidRDefault="009E0194" w:rsidP="009E0194">
      <w:pPr>
        <w:spacing w:after="360"/>
        <w:jc w:val="center"/>
        <w:rPr>
          <w:b/>
          <w:bCs/>
          <w:sz w:val="28"/>
          <w:szCs w:val="28"/>
        </w:rPr>
      </w:pPr>
    </w:p>
    <w:p w14:paraId="1E3DC0FD" w14:textId="77777777" w:rsidR="009E0194" w:rsidRDefault="009E0194" w:rsidP="009E0194">
      <w:pPr>
        <w:adjustRightInd w:val="0"/>
        <w:snapToGrid w:val="0"/>
        <w:jc w:val="center"/>
      </w:pPr>
      <w:r w:rsidRPr="006D5C66">
        <w:t>Larry Catá Backer (</w:t>
      </w:r>
      <w:r w:rsidRPr="006D5C66">
        <w:rPr>
          <w:rFonts w:ascii="Heiti TC" w:eastAsia="Heiti TC" w:hAnsi="Heiti TC" w:cs="Heiti TC" w:hint="eastAsia"/>
        </w:rPr>
        <w:t>白</w:t>
      </w:r>
      <w:r w:rsidRPr="006D5C66">
        <w:t xml:space="preserve"> </w:t>
      </w:r>
      <w:r w:rsidRPr="006D5C66">
        <w:rPr>
          <w:rFonts w:ascii="Heiti TC" w:eastAsia="Heiti TC" w:hAnsi="Heiti TC" w:cs="Heiti TC" w:hint="eastAsia"/>
        </w:rPr>
        <w:t>轲</w:t>
      </w:r>
      <w:r w:rsidRPr="006D5C66">
        <w:t>)</w:t>
      </w:r>
      <w:r>
        <w:rPr>
          <w:rStyle w:val="FootnoteReference"/>
        </w:rPr>
        <w:footnoteReference w:id="1"/>
      </w:r>
    </w:p>
    <w:p w14:paraId="4221724B" w14:textId="77777777" w:rsidR="009E0194" w:rsidRPr="006D5C66" w:rsidRDefault="009E0194" w:rsidP="009E0194">
      <w:pPr>
        <w:adjustRightInd w:val="0"/>
        <w:snapToGrid w:val="0"/>
        <w:jc w:val="center"/>
        <w:rPr>
          <w:sz w:val="18"/>
          <w:szCs w:val="18"/>
        </w:rPr>
      </w:pPr>
      <w:r w:rsidRPr="006D5C66">
        <w:rPr>
          <w:sz w:val="18"/>
          <w:szCs w:val="18"/>
        </w:rPr>
        <w:t>W. Richard and Mary Eshelman Faculty Scholar; Professor of Law and International Affairs</w:t>
      </w:r>
    </w:p>
    <w:p w14:paraId="182A6C8F" w14:textId="77777777" w:rsidR="009E0194" w:rsidRPr="006D5C66" w:rsidRDefault="009E0194" w:rsidP="009E0194">
      <w:pPr>
        <w:adjustRightInd w:val="0"/>
        <w:snapToGrid w:val="0"/>
        <w:jc w:val="center"/>
        <w:rPr>
          <w:sz w:val="18"/>
          <w:szCs w:val="18"/>
        </w:rPr>
      </w:pPr>
      <w:r w:rsidRPr="006D5C66">
        <w:rPr>
          <w:sz w:val="18"/>
          <w:szCs w:val="18"/>
        </w:rPr>
        <w:t>Penn State Dickinson Law, a unit of The Pennsylvania State University system | 239 Lewis Katz Building, University Park, PA 16802</w:t>
      </w:r>
    </w:p>
    <w:p w14:paraId="2E935E1A" w14:textId="77777777" w:rsidR="009E0194" w:rsidRDefault="009E0194" w:rsidP="009E0194">
      <w:pPr>
        <w:adjustRightInd w:val="0"/>
        <w:snapToGrid w:val="0"/>
        <w:jc w:val="center"/>
      </w:pPr>
    </w:p>
    <w:p w14:paraId="668DCF1B" w14:textId="77777777" w:rsidR="009E0194" w:rsidRDefault="009E0194" w:rsidP="009E0194">
      <w:pPr>
        <w:spacing w:after="400"/>
      </w:pPr>
    </w:p>
    <w:p w14:paraId="7FE748DF" w14:textId="77777777" w:rsidR="007E5BC4" w:rsidRDefault="007E5BC4">
      <w:pPr>
        <w:spacing w:after="400"/>
      </w:pPr>
    </w:p>
    <w:p w14:paraId="66E39A7B" w14:textId="77777777" w:rsidR="007E5BC4" w:rsidRDefault="00000000">
      <w:pPr>
        <w:spacing w:after="120"/>
        <w:jc w:val="center"/>
      </w:pPr>
      <w:r>
        <w:rPr>
          <w:b/>
          <w:bCs/>
          <w:sz w:val="36"/>
          <w:szCs w:val="36"/>
        </w:rPr>
        <w:t>Executive Summaries</w:t>
      </w:r>
    </w:p>
    <w:p w14:paraId="44AA4A1C" w14:textId="77777777" w:rsidR="007E5BC4" w:rsidRDefault="007E5BC4">
      <w:pPr>
        <w:spacing w:after="400"/>
      </w:pPr>
    </w:p>
    <w:p w14:paraId="53E9DD73" w14:textId="77777777" w:rsidR="007E5BC4" w:rsidRDefault="00000000">
      <w:pPr>
        <w:spacing w:after="120"/>
        <w:jc w:val="center"/>
      </w:pPr>
      <w:r>
        <w:rPr>
          <w:sz w:val="28"/>
          <w:szCs w:val="28"/>
        </w:rPr>
        <w:t>The Gerasene Protocol</w:t>
      </w:r>
    </w:p>
    <w:p w14:paraId="4DE17758" w14:textId="77777777" w:rsidR="007E5BC4" w:rsidRDefault="007E5BC4">
      <w:pPr>
        <w:spacing w:after="400"/>
      </w:pPr>
    </w:p>
    <w:p w14:paraId="5DAC3A64" w14:textId="77777777" w:rsidR="007E5BC4" w:rsidRDefault="00000000">
      <w:pPr>
        <w:spacing w:after="60"/>
        <w:jc w:val="center"/>
      </w:pPr>
      <w:r>
        <w:rPr>
          <w:i/>
          <w:iCs/>
        </w:rPr>
        <w:t>But Can You Drown a Demon?: Reflections on Mark Zuckerberg — “The AI Future Is for Everyone”</w:t>
      </w:r>
    </w:p>
    <w:p w14:paraId="3348FCD9" w14:textId="77777777" w:rsidR="007E5BC4" w:rsidRDefault="00000000">
      <w:pPr>
        <w:spacing w:after="60"/>
        <w:jc w:val="center"/>
      </w:pPr>
      <w:r>
        <w:rPr>
          <w:i/>
          <w:iCs/>
        </w:rPr>
        <w:t>Cast Out of the Gerasene Protocol (Mark 5:1–13) and as Structural Scaffold</w:t>
      </w:r>
    </w:p>
    <w:p w14:paraId="1218E79A" w14:textId="77777777" w:rsidR="007E5BC4" w:rsidRDefault="00000000">
      <w:pPr>
        <w:spacing w:after="60"/>
        <w:jc w:val="center"/>
      </w:pPr>
      <w:r>
        <w:rPr>
          <w:i/>
          <w:iCs/>
        </w:rPr>
        <w:t>for Reading the Oracular Discourses of the AI Vanguard</w:t>
      </w:r>
    </w:p>
    <w:p w14:paraId="6079BF75" w14:textId="77777777" w:rsidR="007E5BC4" w:rsidRDefault="007E5BC4">
      <w:pPr>
        <w:spacing w:after="400"/>
      </w:pPr>
    </w:p>
    <w:p w14:paraId="39B2D467" w14:textId="77777777" w:rsidR="007E5BC4" w:rsidRDefault="007E5BC4">
      <w:pPr>
        <w:spacing w:after="400"/>
      </w:pPr>
    </w:p>
    <w:p w14:paraId="1C8B58A6" w14:textId="77777777" w:rsidR="007E5BC4" w:rsidRDefault="00000000">
      <w:pPr>
        <w:spacing w:after="200"/>
        <w:jc w:val="center"/>
      </w:pPr>
      <w:r>
        <w:t>August 2026</w:t>
      </w:r>
    </w:p>
    <w:p w14:paraId="28D49AFE" w14:textId="77777777" w:rsidR="007E5BC4" w:rsidRDefault="00000000">
      <w:r>
        <w:br w:type="page"/>
      </w:r>
    </w:p>
    <w:p w14:paraId="7F4ACF12" w14:textId="77777777" w:rsidR="007E5BC4" w:rsidRDefault="00000000">
      <w:pPr>
        <w:pStyle w:val="Heading1"/>
      </w:pPr>
      <w:r>
        <w:lastRenderedPageBreak/>
        <w:t>Executive Summary for Policymakers and General Readers</w:t>
      </w:r>
    </w:p>
    <w:p w14:paraId="73F6ECB5" w14:textId="77777777" w:rsidR="007E5BC4" w:rsidRDefault="007E5BC4">
      <w:pPr>
        <w:spacing w:after="200"/>
      </w:pPr>
    </w:p>
    <w:p w14:paraId="62E3CFAB" w14:textId="77777777" w:rsidR="007E5BC4" w:rsidRDefault="00000000">
      <w:pPr>
        <w:pStyle w:val="Heading2"/>
      </w:pPr>
      <w:r>
        <w:t>What This Paper Is About</w:t>
      </w:r>
    </w:p>
    <w:p w14:paraId="58A2ACF5" w14:textId="77777777" w:rsidR="007E5BC4" w:rsidRDefault="00000000">
      <w:pPr>
        <w:spacing w:after="200" w:line="276" w:lineRule="auto"/>
      </w:pPr>
      <w:r>
        <w:t>Over the past two years, the most powerful technology companies in the world have published major documents explaining how they believe artificial intelligence should be developed and governed. These include statements from OpenAI, Meta (Mark Zuckerberg), Anthropic, Palantir, Leopold Aschenbrenner (a former OpenAI researcher), and Liang Wenfeng (the founder of China’s DeepSeek). Each of these documents proposes a different vision for who should control AI, how it should be distributed, and what role governments should play.</w:t>
      </w:r>
    </w:p>
    <w:p w14:paraId="73D22B09" w14:textId="77777777" w:rsidR="007E5BC4" w:rsidRDefault="00000000">
      <w:pPr>
        <w:spacing w:after="200" w:line="276" w:lineRule="auto"/>
      </w:pPr>
      <w:r>
        <w:t>This paper analyzes all six documents together—not as technical proposals but as political arguments about who should have authority over one of the most consequential technologies in human history.</w:t>
      </w:r>
    </w:p>
    <w:p w14:paraId="60C9F805" w14:textId="77777777" w:rsidR="007E5BC4" w:rsidRDefault="00000000">
      <w:pPr>
        <w:pStyle w:val="Heading2"/>
      </w:pPr>
      <w:r>
        <w:t>The Story That Frames the Analysis</w:t>
      </w:r>
    </w:p>
    <w:p w14:paraId="3F3CCC7B" w14:textId="77777777" w:rsidR="007E5BC4" w:rsidRDefault="00000000">
      <w:pPr>
        <w:spacing w:after="200" w:line="276" w:lineRule="auto"/>
      </w:pPr>
      <w:r>
        <w:t>The paper uses a story from the Gospel of Mark (5:1–13) as an organizing framework—not as a religious argument, but as a narrative structure that illuminates how power works in these documents. In the story, a man is possessed by a force that calls itself “Legion” (“for we are many”). No one can restrain him—chains have been tried and broken. The force negotiates with an authority figure, requests permission to transfer into a herd of pigs, receives that permission, and the pigs rush into a lake and drown. But the force itself does not drown—only the vessels that received it are destroyed.</w:t>
      </w:r>
    </w:p>
    <w:p w14:paraId="1A7D5D68" w14:textId="77777777" w:rsidR="007E5BC4" w:rsidRDefault="00000000">
      <w:pPr>
        <w:spacing w:after="200" w:line="276" w:lineRule="auto"/>
      </w:pPr>
      <w:r>
        <w:t>The paper identifies five stages in this story and shows how each maps onto the strategies used by the technology companies:</w:t>
      </w:r>
    </w:p>
    <w:p w14:paraId="567526A3" w14:textId="77777777" w:rsidR="007E5BC4" w:rsidRDefault="00000000">
      <w:pPr>
        <w:spacing w:after="200" w:line="276" w:lineRule="auto"/>
      </w:pPr>
      <w:r>
        <w:t>1. Identification: Each company identifies AI as an unstoppable force that is already loose in the world. The premise is always: this is happening whether we like it or not.</w:t>
      </w:r>
    </w:p>
    <w:p w14:paraId="67581C78" w14:textId="77777777" w:rsidR="007E5BC4" w:rsidRDefault="00000000">
      <w:pPr>
        <w:spacing w:after="200" w:line="276" w:lineRule="auto"/>
      </w:pPr>
      <w:r>
        <w:t>2. Naming: Terms like “superintelligence” and “open source” are used in ways that appear clear but actually mean many different things at once—much like the demon’s answer “Legion” appears to be a name but actually avoids being pinned down.</w:t>
      </w:r>
    </w:p>
    <w:p w14:paraId="3A491EF5" w14:textId="77777777" w:rsidR="007E5BC4" w:rsidRDefault="00000000">
      <w:pPr>
        <w:spacing w:after="200" w:line="276" w:lineRule="auto"/>
      </w:pPr>
      <w:r>
        <w:t>3. Negotiation: Each company argues that its preferred approach must be adopted, and that the alternatives are too dangerous. Each insists on operating within its own framework (“do not send us out of the area”).</w:t>
      </w:r>
    </w:p>
    <w:p w14:paraId="22355E0B" w14:textId="77777777" w:rsidR="007E5BC4" w:rsidRDefault="00000000">
      <w:pPr>
        <w:spacing w:after="200" w:line="276" w:lineRule="auto"/>
      </w:pPr>
      <w:r>
        <w:lastRenderedPageBreak/>
        <w:t>4. Authorized Transfer: Each company structures its proposal so that saying “no” appears more dangerous than saying “yes.” Policymakers are positioned to ratify choices they did not design.</w:t>
      </w:r>
    </w:p>
    <w:p w14:paraId="746598F2" w14:textId="77777777" w:rsidR="007E5BC4" w:rsidRDefault="00000000">
      <w:pPr>
        <w:spacing w:after="200" w:line="276" w:lineRule="auto"/>
      </w:pPr>
      <w:r>
        <w:t>5. Vessel Destruction: When AI capabilities are dispersed to users, developers, and markets that lack the capacity to govern them, the thing that is destroyed is not the technology itself but the ability to hold anyone accountable for its effects.</w:t>
      </w:r>
    </w:p>
    <w:p w14:paraId="78A96AA8" w14:textId="77777777" w:rsidR="007E5BC4" w:rsidRDefault="00000000">
      <w:pPr>
        <w:pStyle w:val="Heading2"/>
      </w:pPr>
      <w:r>
        <w:t>What the Six Companies Are Proposing</w:t>
      </w:r>
    </w:p>
    <w:p w14:paraId="166D9AB5" w14:textId="77777777" w:rsidR="007E5BC4" w:rsidRDefault="00000000">
      <w:pPr>
        <w:spacing w:after="200" w:line="276" w:lineRule="auto"/>
      </w:pPr>
      <w:r>
        <w:t>Aschenbrenner (former OpenAI) argues that a national-security state will inevitably be required to manage AI. Palantir proposes that technology companies themselves should become the governing institutions. Anthropic frames AI as a geopolitical weapon and argues the U.S. must lead or lose. OpenAI proposes a public-private industrial policy to manage the transition. DeepSeek presents itself as restrained and research-focused within China’s political system. Meta/Zuckerberg argues that the safest path is to give everyone access to AI through “open” distribution.</w:t>
      </w:r>
    </w:p>
    <w:p w14:paraId="05D4C5FC" w14:textId="77777777" w:rsidR="007E5BC4" w:rsidRDefault="00000000">
      <w:pPr>
        <w:pStyle w:val="Heading2"/>
      </w:pPr>
      <w:r>
        <w:t>The Core Problem the Paper Identifies</w:t>
      </w:r>
    </w:p>
    <w:p w14:paraId="4EBBF8D0" w14:textId="77777777" w:rsidR="007E5BC4" w:rsidRDefault="00000000">
      <w:pPr>
        <w:spacing w:after="200" w:line="276" w:lineRule="auto"/>
      </w:pPr>
      <w:r>
        <w:t>The paper’s central argument is that all six proposals share a critical flaw: they offer legitimacy without accountability. Each company provides a compelling story about why its approach is necessary, beneficial, or democratic—but none provides a workable structure for holding the technology (or its creators) accountable when things go wrong.</w:t>
      </w:r>
    </w:p>
    <w:p w14:paraId="1C451A1B" w14:textId="77777777" w:rsidR="007E5BC4" w:rsidRDefault="00000000">
      <w:pPr>
        <w:spacing w:after="200" w:line="276" w:lineRule="auto"/>
      </w:pPr>
      <w:r>
        <w:t>Meta’s proposal is identified as the clearest example. Zuckerberg argues for “open” AI distributed to billions of users. But the paper shows that this creates what it calls a “distributed-systems inversion”: the technology appears decentralized because millions of people use it, but control over the underlying system (what it can do, how it was trained, what values it reflects) remains centralized with Meta. The many users are like the many pigs—they receive the force but cannot contain or govern it. When something goes wrong, there is no one to hold accountable because the relationship between the maker and the harm has been severed by the act of distribution itself.</w:t>
      </w:r>
    </w:p>
    <w:p w14:paraId="22074FC8" w14:textId="77777777" w:rsidR="007E5BC4" w:rsidRDefault="00000000">
      <w:pPr>
        <w:pStyle w:val="Heading2"/>
      </w:pPr>
      <w:r>
        <w:t>Why This Matters for Policy</w:t>
      </w:r>
    </w:p>
    <w:p w14:paraId="0D8C7A8F" w14:textId="77777777" w:rsidR="007E5BC4" w:rsidRDefault="00000000">
      <w:pPr>
        <w:spacing w:after="200" w:line="276" w:lineRule="auto"/>
      </w:pPr>
      <w:r>
        <w:t xml:space="preserve">The paper concludes that current policy debates are operating within a framework designed by the very companies being regulated. Every major AI governance proposal accepts the premise that AI development is inevitable, that the companies developing it are best positioned to manage it, and that the role of government is to facilitate rather than direct. The paper argues that effective governance requires something qualitatively different: an authority that can operate </w:t>
      </w:r>
      <w:r>
        <w:lastRenderedPageBreak/>
        <w:t>outside the framework the companies have constructed—one that can set terms rather than merely ratify them.</w:t>
      </w:r>
    </w:p>
    <w:p w14:paraId="61467DB0" w14:textId="77777777" w:rsidR="007E5BC4" w:rsidRDefault="00000000">
      <w:pPr>
        <w:spacing w:after="200" w:line="276" w:lineRule="auto"/>
      </w:pPr>
      <w:r>
        <w:t>The question the paper poses to policymakers is direct: if you cannot prevent the technology from being deployed, and you cannot hold anyone accountable after it is deployed, and the frameworks for your intervention have been pre-structured by the entities you seek to regulate—then what, exactly, is the nature of your authority? The paper does not propose a specific regulatory solution but argues that no solution is possible until this structural problem is confronted honestly.</w:t>
      </w:r>
    </w:p>
    <w:p w14:paraId="6850BC8D" w14:textId="77777777" w:rsidR="007E5BC4" w:rsidRDefault="00000000">
      <w:r>
        <w:br w:type="page"/>
      </w:r>
    </w:p>
    <w:p w14:paraId="7C5E5179" w14:textId="77777777" w:rsidR="007E5BC4" w:rsidRDefault="00000000">
      <w:pPr>
        <w:pStyle w:val="Heading1"/>
      </w:pPr>
      <w:r>
        <w:lastRenderedPageBreak/>
        <w:t>Executive Summary for Legal Scholars, Governance Theorists, and Advanced Readers</w:t>
      </w:r>
    </w:p>
    <w:p w14:paraId="49689082" w14:textId="77777777" w:rsidR="007E5BC4" w:rsidRDefault="007E5BC4">
      <w:pPr>
        <w:spacing w:after="200"/>
      </w:pPr>
    </w:p>
    <w:p w14:paraId="4B7CA750" w14:textId="77777777" w:rsidR="007E5BC4" w:rsidRDefault="00000000">
      <w:pPr>
        <w:pStyle w:val="Heading2"/>
      </w:pPr>
      <w:r>
        <w:t>Method and Framing</w:t>
      </w:r>
    </w:p>
    <w:p w14:paraId="082B8AF9" w14:textId="77777777" w:rsidR="007E5BC4" w:rsidRDefault="00000000">
      <w:pPr>
        <w:spacing w:after="200" w:line="276" w:lineRule="auto"/>
      </w:pPr>
      <w:r>
        <w:t>This paper employs a semiotic methodology to analyze six major AI governance texts as discursive objects—treating them not as policy proposals to be evaluated on their merits but as signifying practices that constitute their objects (AI, governance, legitimacy, safety) through specific rhetorical operations. The analytical scaffold is drawn from the Gerasene demoniac narrative (Mark 5:1–13), deployed not as theological commentary but as a structural homology: the five-stage exorcism protocol (identification → naming → negotiation → authorized transfer → vessel destruction) maps onto the discursive strategies through which the AI vanguard positions itself relative to sovereign regulatory authority.</w:t>
      </w:r>
    </w:p>
    <w:p w14:paraId="097F1CF2" w14:textId="77777777" w:rsidR="007E5BC4" w:rsidRDefault="00000000">
      <w:pPr>
        <w:pStyle w:val="Heading2"/>
      </w:pPr>
      <w:r>
        <w:t>The Five-Stage Gerasene Protocol as Analytical Scaffold</w:t>
      </w:r>
    </w:p>
    <w:p w14:paraId="6C862303" w14:textId="77777777" w:rsidR="007E5BC4" w:rsidRDefault="00000000">
      <w:pPr>
        <w:spacing w:after="200" w:line="276" w:lineRule="auto"/>
      </w:pPr>
      <w:r>
        <w:t>Stage 1—Identification: Each oracle identifies an animating force (variously signified as “superintelligence,” “AGI,” “the intelligence explosion”) as already-operative and externally caused. The discursive effect is to position the speaker as responding to rather than constituting the phenomenon—naturalization of what is in fact a specific program of technological development driven by identifiable economic interests.</w:t>
      </w:r>
    </w:p>
    <w:p w14:paraId="70FA25A5" w14:textId="77777777" w:rsidR="007E5BC4" w:rsidRDefault="00000000">
      <w:pPr>
        <w:spacing w:after="200" w:line="276" w:lineRule="auto"/>
      </w:pPr>
      <w:r>
        <w:t>Stage 2—Naming (the Legion-function): The paper’s central semiotic contribution is the identification of what it terms the “Legion-function”: a signifying operation in which a term (“superintelligence,” “open source”) appears to name a singular referent while actually encoding irreducible multiplicity. Like the demon’s response “Legion, for we are many,” these terms submit to the demand for legibility while actually proliferating the sites at which meaning is underdetermined. “Superintelligence” simultaneously signifies: a technical threshold, a product category, a market structure, a governance problem, an inevitability-narrative, and an authorization device. This is not polysemy (multiple stable meanings) but strategic equivocation (the ability to slide between meanings while maintaining the appearance of univocity).</w:t>
      </w:r>
    </w:p>
    <w:p w14:paraId="47831903" w14:textId="77777777" w:rsidR="007E5BC4" w:rsidRDefault="00000000">
      <w:pPr>
        <w:spacing w:after="200" w:line="276" w:lineRule="auto"/>
      </w:pPr>
      <w:r>
        <w:t xml:space="preserve">Stage 3—Negotiation (“Do not send us out of the area”): Each oracle insists on remaining within its cognitive-territorial jurisdiction—its proper discursive field (national security, market liberalism, Marxist-Leninist guided development, etc.). The plea is structural: the force requires recognizable institutional forms to inhabit, even exhausted ones. The paper theorizes these as </w:t>
      </w:r>
      <w:r>
        <w:lastRenderedPageBreak/>
        <w:t>“tombs as dwelling place”: categories that are dead in the sense of being unable to contain the forces at work but that remain the only available habitation for governance thought.</w:t>
      </w:r>
    </w:p>
    <w:p w14:paraId="0B635B7D" w14:textId="77777777" w:rsidR="007E5BC4" w:rsidRDefault="00000000">
      <w:pPr>
        <w:spacing w:after="200" w:line="276" w:lineRule="auto"/>
      </w:pPr>
      <w:r>
        <w:t xml:space="preserve">Stage 4—Authorized Transfer (“He gave them permission”): The paper demonstrates how each text structures the permission-request such that sovereign authority’s role is reduced from deliberative to </w:t>
      </w:r>
      <w:proofErr w:type="spellStart"/>
      <w:r>
        <w:t>ratificatory</w:t>
      </w:r>
      <w:proofErr w:type="spellEnd"/>
      <w:r>
        <w:t>. The choice architecture is pre-structured: the vessel has been specified, the transfer has been described, and the terms render refusal illiberal, economically irrational, or geopolitically suicidal. Democratic sovereignty is positioned to sanction what it cannot prevent—the Hobson’s choice at the heart of every oracle’s governance proposal.</w:t>
      </w:r>
    </w:p>
    <w:p w14:paraId="7DB98440" w14:textId="77777777" w:rsidR="007E5BC4" w:rsidRDefault="00000000">
      <w:pPr>
        <w:spacing w:after="200" w:line="276" w:lineRule="auto"/>
      </w:pPr>
      <w:r>
        <w:t>Stage 5—Vessel Destruction (pigs and the lake): The transfer of capabilities into terminal vessels (individual users, developers, open-source communities, market structures) that lack governance capacity produces what the paper identifies as accountability-relationship destruction. The force persists; only the traceability between source and effect is severed. This is the paper’s key structural claim about “open” distribution: it is not democratization but accountability dissolution.</w:t>
      </w:r>
    </w:p>
    <w:p w14:paraId="51139425" w14:textId="77777777" w:rsidR="007E5BC4" w:rsidRDefault="00000000">
      <w:pPr>
        <w:pStyle w:val="Heading2"/>
      </w:pPr>
      <w:r>
        <w:t>The Six-Oracle Comparative Taxonomy</w:t>
      </w:r>
    </w:p>
    <w:p w14:paraId="772723E2" w14:textId="77777777" w:rsidR="007E5BC4" w:rsidRDefault="00000000">
      <w:pPr>
        <w:spacing w:after="200" w:line="276" w:lineRule="auto"/>
      </w:pPr>
      <w:r>
        <w:t>The paper develops a dimensional analysis across six discursive objects, classified along axes of: cognitive-territorial jurisdiction (the political-economic “tomb” each inhabits); interaction modality with sovereign authority (foreclosed, supervisory, proxy, asymmetric, internal/exploratory, consumer/beneficiary); the signifying chain through which “safety” is constituted; and the specific vessel into which transfer is proposed. The taxonomy:</w:t>
      </w:r>
    </w:p>
    <w:p w14:paraId="33988A24" w14:textId="77777777" w:rsidR="007E5BC4" w:rsidRDefault="00000000">
      <w:pPr>
        <w:spacing w:after="200" w:line="276" w:lineRule="auto"/>
      </w:pPr>
      <w:r>
        <w:t>Aschenbrenner (“Situational Awareness”): National-security jurisdiction; foreclosed interaction (the intelligence explosion forecloses democratic deliberation); safety = state control of compute; vessel = classified national-security apparatus.</w:t>
      </w:r>
    </w:p>
    <w:p w14:paraId="7DF85646" w14:textId="77777777" w:rsidR="007E5BC4" w:rsidRDefault="00000000">
      <w:pPr>
        <w:spacing w:after="200" w:line="276" w:lineRule="auto"/>
      </w:pPr>
      <w:r>
        <w:t>Palantir (“Manifesto”): Republican-technicism jurisdiction; supervisory interaction (the “Technological Republic” supervises itself); safety = architectural internalization; vessel = the engineering-governance fusion.</w:t>
      </w:r>
    </w:p>
    <w:p w14:paraId="3B12BB68" w14:textId="77777777" w:rsidR="007E5BC4" w:rsidRDefault="00000000">
      <w:pPr>
        <w:spacing w:after="200" w:line="276" w:lineRule="auto"/>
      </w:pPr>
      <w:r>
        <w:t>Anthropic (“2028: Two Scenarios”): Geopolitical-competition jurisdiction; proxy interaction (AI as instrument of interstate rivalry); safety = competitive advantage of Western alignment norms; vessel = responsible-scaling protocols within competitive constraints.</w:t>
      </w:r>
    </w:p>
    <w:p w14:paraId="58AC67E9" w14:textId="77777777" w:rsidR="007E5BC4" w:rsidRDefault="00000000">
      <w:pPr>
        <w:spacing w:after="200" w:line="276" w:lineRule="auto"/>
      </w:pPr>
      <w:r>
        <w:t>OpenAI (“Industrial Policy for the Intelligence Age”): Liberal-industrial-policy jurisdiction; asymmetric interaction (public-private partnership with private preponderance); safety = techno-bureaucratic channeling; vessel = managed public-private infrastructure.</w:t>
      </w:r>
    </w:p>
    <w:p w14:paraId="691B3B65" w14:textId="77777777" w:rsidR="007E5BC4" w:rsidRDefault="00000000">
      <w:pPr>
        <w:spacing w:after="200" w:line="276" w:lineRule="auto"/>
      </w:pPr>
      <w:r>
        <w:lastRenderedPageBreak/>
        <w:t xml:space="preserve">DeepSeek/Liang </w:t>
      </w:r>
      <w:proofErr w:type="spellStart"/>
      <w:r>
        <w:t>Wenfeng</w:t>
      </w:r>
      <w:proofErr w:type="spellEnd"/>
      <w:r>
        <w:t xml:space="preserve"> (investor Q&amp;A): Guided-state Marxism-Leninism jurisdiction; internal/exploratory interaction (strategic restraint within Party parameters); safety = team stability and scope limitation; vessel = research collective operating within implicit Party approval.</w:t>
      </w:r>
    </w:p>
    <w:p w14:paraId="54C28528" w14:textId="77777777" w:rsidR="007E5BC4" w:rsidRDefault="00000000">
      <w:pPr>
        <w:spacing w:after="200" w:line="276" w:lineRule="auto"/>
      </w:pPr>
      <w:r>
        <w:t>Meta/Zuckerberg (“The AI Future Is for Everyone”): Market-liberalism jurisdiction; consumer/beneficiary interaction (users as recipients of distributed capability); safety = “balance of power” through proliferation; vessel = the aggregated individual user base as terminal endpoint.</w:t>
      </w:r>
    </w:p>
    <w:p w14:paraId="457B25D9" w14:textId="77777777" w:rsidR="007E5BC4" w:rsidRDefault="00000000">
      <w:pPr>
        <w:pStyle w:val="Heading2"/>
      </w:pPr>
      <w:r>
        <w:t>The Distributed-Systems Inversion</w:t>
      </w:r>
    </w:p>
    <w:p w14:paraId="2067D944" w14:textId="77777777" w:rsidR="007E5BC4" w:rsidRDefault="00000000">
      <w:pPr>
        <w:spacing w:after="200" w:line="276" w:lineRule="auto"/>
      </w:pPr>
      <w:r>
        <w:t>The paper’s most technically precise contribution is the identification of what it terms the “distributed-systems inversion”: the demonstration that multiplicity at the endpoint/vessel layer does not entail multiplicity at the control/source layer. “We are many” (Legion’s claim) is a statement about the vessels of manifestation, not about the governing force. Applied to Meta’s open-distribution model: the proliferation of instances (millions of developers, billions of users) creates the semiotic appearance of decentralization—it produces the signs of distributed power—while the animating force (model architecture, training corpus, alignment choices, capability-frontier decisions, economic logic) remains singular, consolidated, and structurally unaccountable. This is not hypocrisy but structural: the architecture is “open” at the distribution layer precisely because it is closed at the determination layer.</w:t>
      </w:r>
    </w:p>
    <w:p w14:paraId="4B06BA9A" w14:textId="77777777" w:rsidR="007E5BC4" w:rsidRDefault="00000000">
      <w:pPr>
        <w:pStyle w:val="Heading2"/>
      </w:pPr>
      <w:r>
        <w:t>The Terminal Question: Authority External to the System</w:t>
      </w:r>
    </w:p>
    <w:p w14:paraId="5C3188ED" w14:textId="77777777" w:rsidR="007E5BC4" w:rsidRDefault="00000000">
      <w:pPr>
        <w:spacing w:after="200" w:line="276" w:lineRule="auto"/>
      </w:pPr>
      <w:r>
        <w:t>The paper concludes that the six oracles collectively constitute a closed discursive field in which all governance proposals operate within the frame of the possessed—proposing chains (regulation), tombs (existing institutional forms), and pigs (terminal vessels for capability transfer) but never the exorcist (a source of authority qualitatively external to the system). The Gerasene narrative is structurally explicit: the exorcism required not a better chain, a stronger tomb, or a more durable pig, but a power operating from outside the frame entirely. The paper poses this as the terminal question for governance theory: whether any actually existing institutional form can constitute authority external to a system whose discursive operations have pre-structured all available positions of oversight as positions within the system.</w:t>
      </w:r>
    </w:p>
    <w:p w14:paraId="735EC3E9" w14:textId="77777777" w:rsidR="007E5BC4" w:rsidRDefault="00000000">
      <w:pPr>
        <w:spacing w:after="200" w:line="276" w:lineRule="auto"/>
      </w:pPr>
      <w:r>
        <w:t xml:space="preserve">The recursive question—“Can you drown a demon?”—encodes the problematic precisely: the dispersion of force into terminal vessels destroys only the vessels and the accountability relationship, never the force itself. The current governance conversation, by operating exclusively through vessel-logic (distribute, regulate, channel, balance), may be structurally incapable of addressing the persistence of concentrated capability after accountability </w:t>
      </w:r>
      <w:r>
        <w:lastRenderedPageBreak/>
        <w:t>dissolution. The paper does not resolve this question but argues it must be confronted as a question of political ontology—about the conditions of possibility for governance authority—rather than as a question of institutional design within existing frameworks that have already been demonstrated as “chains that cannot hold.”</w:t>
      </w:r>
    </w:p>
    <w:sectPr w:rsidR="007E5BC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0A62CD" w14:textId="77777777" w:rsidR="00F93220" w:rsidRDefault="00F93220">
      <w:r>
        <w:separator/>
      </w:r>
    </w:p>
  </w:endnote>
  <w:endnote w:type="continuationSeparator" w:id="0">
    <w:p w14:paraId="47CC2E3A" w14:textId="77777777" w:rsidR="00F93220" w:rsidRDefault="00F93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iti TC">
    <w:altName w:val="Cambria"/>
    <w:panose1 w:val="02000000000000000000"/>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1ABAFD" w14:textId="77777777" w:rsidR="009E0194" w:rsidRDefault="009E0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89ACAF" w14:textId="77777777" w:rsidR="007E5BC4" w:rsidRDefault="00000000">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9E0194">
      <w:rPr>
        <w:noProof/>
        <w:sz w:val="18"/>
        <w:szCs w:val="18"/>
      </w:rPr>
      <w:t>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D6A9F4" w14:textId="77777777" w:rsidR="009E0194" w:rsidRDefault="009E0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492B42" w14:textId="77777777" w:rsidR="00F93220" w:rsidRDefault="00F93220">
      <w:r>
        <w:separator/>
      </w:r>
    </w:p>
  </w:footnote>
  <w:footnote w:type="continuationSeparator" w:id="0">
    <w:p w14:paraId="61815423" w14:textId="77777777" w:rsidR="00F93220" w:rsidRDefault="00F93220">
      <w:r>
        <w:continuationSeparator/>
      </w:r>
    </w:p>
  </w:footnote>
  <w:footnote w:id="1">
    <w:p w14:paraId="1A91088E" w14:textId="5ECEA034" w:rsidR="009E0194" w:rsidRPr="006D5C66" w:rsidRDefault="009E0194" w:rsidP="009E0194">
      <w:pPr>
        <w:pStyle w:val="FootnoteText"/>
      </w:pPr>
      <w:r>
        <w:rPr>
          <w:rStyle w:val="FootnoteReference"/>
        </w:rPr>
        <w:footnoteRef/>
      </w:r>
      <w:r>
        <w:t xml:space="preserve"> </w:t>
      </w:r>
      <w:r w:rsidRPr="006D5C66">
        <w:t xml:space="preserve">Created with </w:t>
      </w:r>
      <w:proofErr w:type="spellStart"/>
      <w:r>
        <w:t>HarveyAI</w:t>
      </w:r>
      <w:proofErr w:type="spellEnd"/>
      <w:r>
        <w:t>; prompt/response record on file with author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4AF281" w14:textId="77777777" w:rsidR="009E0194" w:rsidRDefault="009E01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D7CCE8" w14:textId="5EF14E3C" w:rsidR="007E5BC4" w:rsidRDefault="00000000">
    <w:pPr>
      <w:jc w:val="right"/>
      <w:rPr>
        <w:i/>
        <w:iCs/>
        <w:color w:val="666666"/>
        <w:sz w:val="18"/>
        <w:szCs w:val="18"/>
      </w:rPr>
    </w:pPr>
    <w:r>
      <w:rPr>
        <w:i/>
        <w:iCs/>
        <w:color w:val="666666"/>
        <w:sz w:val="18"/>
        <w:szCs w:val="18"/>
      </w:rPr>
      <w:t xml:space="preserve">Executive Summaries: </w:t>
    </w:r>
    <w:r w:rsidR="009E0194">
      <w:rPr>
        <w:i/>
        <w:iCs/>
        <w:color w:val="666666"/>
        <w:sz w:val="18"/>
        <w:szCs w:val="18"/>
      </w:rPr>
      <w:t xml:space="preserve">But Can You Drown a Demon?: </w:t>
    </w:r>
    <w:proofErr w:type="spellStart"/>
    <w:r>
      <w:rPr>
        <w:i/>
        <w:iCs/>
        <w:color w:val="666666"/>
        <w:sz w:val="18"/>
        <w:szCs w:val="18"/>
      </w:rPr>
      <w:t>The</w:t>
    </w:r>
    <w:proofErr w:type="spellEnd"/>
    <w:r>
      <w:rPr>
        <w:i/>
        <w:iCs/>
        <w:color w:val="666666"/>
        <w:sz w:val="18"/>
        <w:szCs w:val="18"/>
      </w:rPr>
      <w:t xml:space="preserve"> Gerasene Protocol</w:t>
    </w:r>
  </w:p>
  <w:p w14:paraId="28DB1937" w14:textId="3FC269F0" w:rsidR="009E0194" w:rsidRDefault="009E0194">
    <w:pPr>
      <w:jc w:val="right"/>
      <w:rPr>
        <w:sz w:val="18"/>
        <w:szCs w:val="18"/>
      </w:rPr>
    </w:pPr>
    <w:r w:rsidRPr="009E0194">
      <w:rPr>
        <w:sz w:val="18"/>
        <w:szCs w:val="18"/>
      </w:rPr>
      <w:t>Larry Catá Backer (</w:t>
    </w:r>
    <w:r w:rsidRPr="009E0194">
      <w:rPr>
        <w:rFonts w:ascii="Heiti TC" w:eastAsia="Heiti TC" w:hAnsi="Heiti TC" w:cs="Heiti TC" w:hint="eastAsia"/>
        <w:sz w:val="18"/>
        <w:szCs w:val="18"/>
      </w:rPr>
      <w:t>白</w:t>
    </w:r>
    <w:r w:rsidRPr="009E0194">
      <w:rPr>
        <w:sz w:val="18"/>
        <w:szCs w:val="18"/>
      </w:rPr>
      <w:t xml:space="preserve"> </w:t>
    </w:r>
    <w:r w:rsidRPr="009E0194">
      <w:rPr>
        <w:rFonts w:ascii="Heiti TC" w:eastAsia="Heiti TC" w:hAnsi="Heiti TC" w:cs="Heiti TC" w:hint="eastAsia"/>
        <w:sz w:val="18"/>
        <w:szCs w:val="18"/>
      </w:rPr>
      <w:t>轲</w:t>
    </w:r>
    <w:r w:rsidRPr="009E0194">
      <w:rPr>
        <w:sz w:val="18"/>
        <w:szCs w:val="18"/>
      </w:rPr>
      <w:t>)</w:t>
    </w:r>
  </w:p>
  <w:p w14:paraId="39CB4C37" w14:textId="21070E1A" w:rsidR="009E0194" w:rsidRDefault="009E0194">
    <w:pPr>
      <w:jc w:val="right"/>
      <w:rPr>
        <w:sz w:val="18"/>
        <w:szCs w:val="18"/>
      </w:rPr>
    </w:pPr>
    <w:r>
      <w:rPr>
        <w:sz w:val="18"/>
        <w:szCs w:val="18"/>
      </w:rPr>
      <w:t>7 August 2026</w:t>
    </w:r>
  </w:p>
  <w:p w14:paraId="7E08F57F" w14:textId="59EB89D6" w:rsidR="009E0194" w:rsidRPr="009E0194" w:rsidRDefault="009E0194">
    <w:pPr>
      <w:jc w:val="right"/>
      <w:rPr>
        <w:sz w:val="16"/>
        <w:szCs w:val="16"/>
      </w:rPr>
    </w:pPr>
    <w:r w:rsidRPr="009E0194">
      <w:rPr>
        <w:sz w:val="16"/>
        <w:szCs w:val="16"/>
      </w:rPr>
      <w:t xml:space="preserve">Also available </w:t>
    </w:r>
    <w:hyperlink r:id="rId1" w:history="1">
      <w:r w:rsidRPr="0047235F">
        <w:rPr>
          <w:rStyle w:val="Hyperlink"/>
          <w:sz w:val="16"/>
          <w:szCs w:val="16"/>
        </w:rPr>
        <w:t>https://lcbackerblog.blogspot.com/2026/08/easy-riderghost-rider-in-search-of.html</w:t>
      </w:r>
    </w:hyperlink>
    <w:r>
      <w:rPr>
        <w:sz w:val="16"/>
        <w:szCs w:val="16"/>
      </w:rPr>
      <w:t xml:space="preserve"> </w:t>
    </w:r>
  </w:p>
  <w:p w14:paraId="128B8F27" w14:textId="77777777" w:rsidR="009E0194" w:rsidRDefault="009E0194">
    <w:pPr>
      <w:jc w:val="right"/>
      <w:rPr>
        <w:sz w:val="18"/>
        <w:szCs w:val="18"/>
      </w:rPr>
    </w:pPr>
  </w:p>
  <w:p w14:paraId="7CA15AFA" w14:textId="77777777" w:rsidR="009E0194" w:rsidRPr="009E0194" w:rsidRDefault="009E0194">
    <w:pPr>
      <w:jc w:val="righ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0E619B" w14:textId="77777777" w:rsidR="009E0194" w:rsidRDefault="009E0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972EA2"/>
    <w:multiLevelType w:val="hybridMultilevel"/>
    <w:tmpl w:val="65C47752"/>
    <w:lvl w:ilvl="0" w:tplc="15D62F9A">
      <w:start w:val="1"/>
      <w:numFmt w:val="bullet"/>
      <w:lvlText w:val="●"/>
      <w:lvlJc w:val="left"/>
      <w:pPr>
        <w:ind w:left="720" w:hanging="360"/>
      </w:pPr>
    </w:lvl>
    <w:lvl w:ilvl="1" w:tplc="89E486EE">
      <w:start w:val="1"/>
      <w:numFmt w:val="bullet"/>
      <w:lvlText w:val="○"/>
      <w:lvlJc w:val="left"/>
      <w:pPr>
        <w:ind w:left="1440" w:hanging="360"/>
      </w:pPr>
    </w:lvl>
    <w:lvl w:ilvl="2" w:tplc="CF347CEE">
      <w:start w:val="1"/>
      <w:numFmt w:val="bullet"/>
      <w:lvlText w:val="■"/>
      <w:lvlJc w:val="left"/>
      <w:pPr>
        <w:ind w:left="2160" w:hanging="360"/>
      </w:pPr>
    </w:lvl>
    <w:lvl w:ilvl="3" w:tplc="5CB4D106">
      <w:start w:val="1"/>
      <w:numFmt w:val="bullet"/>
      <w:lvlText w:val="●"/>
      <w:lvlJc w:val="left"/>
      <w:pPr>
        <w:ind w:left="2880" w:hanging="360"/>
      </w:pPr>
    </w:lvl>
    <w:lvl w:ilvl="4" w:tplc="83C8F2CC">
      <w:start w:val="1"/>
      <w:numFmt w:val="bullet"/>
      <w:lvlText w:val="○"/>
      <w:lvlJc w:val="left"/>
      <w:pPr>
        <w:ind w:left="3600" w:hanging="360"/>
      </w:pPr>
    </w:lvl>
    <w:lvl w:ilvl="5" w:tplc="4184E9C4">
      <w:start w:val="1"/>
      <w:numFmt w:val="bullet"/>
      <w:lvlText w:val="■"/>
      <w:lvlJc w:val="left"/>
      <w:pPr>
        <w:ind w:left="4320" w:hanging="360"/>
      </w:pPr>
    </w:lvl>
    <w:lvl w:ilvl="6" w:tplc="B010F07A">
      <w:start w:val="1"/>
      <w:numFmt w:val="bullet"/>
      <w:lvlText w:val="●"/>
      <w:lvlJc w:val="left"/>
      <w:pPr>
        <w:ind w:left="5040" w:hanging="360"/>
      </w:pPr>
    </w:lvl>
    <w:lvl w:ilvl="7" w:tplc="385EF0CE">
      <w:start w:val="1"/>
      <w:numFmt w:val="bullet"/>
      <w:lvlText w:val="●"/>
      <w:lvlJc w:val="left"/>
      <w:pPr>
        <w:ind w:left="5760" w:hanging="360"/>
      </w:pPr>
    </w:lvl>
    <w:lvl w:ilvl="8" w:tplc="9A949B88">
      <w:start w:val="1"/>
      <w:numFmt w:val="bullet"/>
      <w:lvlText w:val="●"/>
      <w:lvlJc w:val="left"/>
      <w:pPr>
        <w:ind w:left="6480" w:hanging="360"/>
      </w:pPr>
    </w:lvl>
  </w:abstractNum>
  <w:num w:numId="1" w16cid:durableId="170479346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C4"/>
    <w:rsid w:val="001722B8"/>
    <w:rsid w:val="007E5BC4"/>
    <w:rsid w:val="009E0194"/>
    <w:rsid w:val="00F9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F736B"/>
  <w15:docId w15:val="{73486191-A8F1-1347-8CA9-75E33457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000000"/>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spacing w:before="360" w:after="240" w:line="360" w:lineRule="auto"/>
      <w:outlineLvl w:val="0"/>
    </w:pPr>
    <w:rPr>
      <w:b/>
      <w:bCs/>
      <w:sz w:val="32"/>
      <w:szCs w:val="32"/>
    </w:rPr>
  </w:style>
  <w:style w:type="paragraph" w:styleId="Heading2">
    <w:name w:val="heading 2"/>
    <w:uiPriority w:val="9"/>
    <w:unhideWhenUsed/>
    <w:qFormat/>
    <w:pPr>
      <w:spacing w:before="240" w:after="180" w:line="360" w:lineRule="auto"/>
      <w:outlineLvl w:val="1"/>
    </w:pPr>
    <w:rPr>
      <w:b/>
      <w:bCs/>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customStyle="1" w:styleId="Heading1Char">
    <w:name w:val="Heading 1 Char"/>
    <w:basedOn w:val="DefaultParagraphFont"/>
    <w:link w:val="Heading1"/>
    <w:uiPriority w:val="9"/>
    <w:rsid w:val="009E0194"/>
    <w:rPr>
      <w:b/>
      <w:bCs/>
      <w:sz w:val="32"/>
      <w:szCs w:val="32"/>
    </w:rPr>
  </w:style>
  <w:style w:type="paragraph" w:styleId="Header">
    <w:name w:val="header"/>
    <w:basedOn w:val="Normal"/>
    <w:link w:val="HeaderChar"/>
    <w:uiPriority w:val="99"/>
    <w:unhideWhenUsed/>
    <w:rsid w:val="009E0194"/>
    <w:pPr>
      <w:tabs>
        <w:tab w:val="center" w:pos="4680"/>
        <w:tab w:val="right" w:pos="9360"/>
      </w:tabs>
    </w:pPr>
  </w:style>
  <w:style w:type="character" w:customStyle="1" w:styleId="HeaderChar">
    <w:name w:val="Header Char"/>
    <w:basedOn w:val="DefaultParagraphFont"/>
    <w:link w:val="Header"/>
    <w:uiPriority w:val="99"/>
    <w:rsid w:val="009E0194"/>
  </w:style>
  <w:style w:type="paragraph" w:styleId="Footer">
    <w:name w:val="footer"/>
    <w:basedOn w:val="Normal"/>
    <w:link w:val="FooterChar"/>
    <w:uiPriority w:val="99"/>
    <w:unhideWhenUsed/>
    <w:rsid w:val="009E0194"/>
    <w:pPr>
      <w:tabs>
        <w:tab w:val="center" w:pos="4680"/>
        <w:tab w:val="right" w:pos="9360"/>
      </w:tabs>
    </w:pPr>
  </w:style>
  <w:style w:type="character" w:customStyle="1" w:styleId="FooterChar">
    <w:name w:val="Footer Char"/>
    <w:basedOn w:val="DefaultParagraphFont"/>
    <w:link w:val="Footer"/>
    <w:uiPriority w:val="99"/>
    <w:rsid w:val="009E0194"/>
  </w:style>
  <w:style w:type="character" w:styleId="UnresolvedMention">
    <w:name w:val="Unresolved Mention"/>
    <w:basedOn w:val="DefaultParagraphFont"/>
    <w:uiPriority w:val="99"/>
    <w:semiHidden/>
    <w:unhideWhenUsed/>
    <w:rsid w:val="009E0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lcbackerblog.blogspot.com/2026/08/easy-riderghost-rider-in-search-of.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2167</Words>
  <Characters>12354</Characters>
  <Application>Microsoft Office Word</Application>
  <DocSecurity>0</DocSecurity>
  <Lines>102</Lines>
  <Paragraphs>28</Paragraphs>
  <ScaleCrop>false</ScaleCrop>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Backer, Larry Cata</cp:lastModifiedBy>
  <cp:revision>2</cp:revision>
  <dcterms:created xsi:type="dcterms:W3CDTF">2026-08-07T15:15:00Z</dcterms:created>
  <dcterms:modified xsi:type="dcterms:W3CDTF">2026-08-07T17:59:00Z</dcterms:modified>
</cp:coreProperties>
</file>